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7D7E3" w14:textId="77777777" w:rsidR="00487CEF" w:rsidRDefault="00757E3D">
      <w:pPr>
        <w:spacing w:after="0" w:line="357" w:lineRule="auto"/>
        <w:ind w:left="3247" w:right="3237"/>
        <w:jc w:val="center"/>
      </w:pPr>
      <w:r>
        <w:rPr>
          <w:b/>
        </w:rPr>
        <w:t>Uchwała Nr   IV / 38 / 2020 z dnia 11 lutego 2020 roku</w:t>
      </w:r>
    </w:p>
    <w:p w14:paraId="07E20D17" w14:textId="77777777" w:rsidR="00487CEF" w:rsidRDefault="00757E3D">
      <w:pPr>
        <w:spacing w:after="0" w:line="461" w:lineRule="auto"/>
        <w:ind w:left="1202" w:right="1192"/>
        <w:jc w:val="center"/>
      </w:pPr>
      <w:r>
        <w:rPr>
          <w:b/>
        </w:rPr>
        <w:t xml:space="preserve">Składu Orzekającego Regionalnej Izby Obrachunkowej w Łodzi w sprawie opinii dotyczącej prawidłowości planowanej kwoty długu </w:t>
      </w:r>
    </w:p>
    <w:p w14:paraId="061CD4DF" w14:textId="77777777" w:rsidR="00487CEF" w:rsidRDefault="00757E3D">
      <w:pPr>
        <w:spacing w:after="348" w:line="265" w:lineRule="auto"/>
        <w:ind w:left="1202" w:right="1192"/>
        <w:jc w:val="center"/>
      </w:pPr>
      <w:r>
        <w:rPr>
          <w:b/>
        </w:rPr>
        <w:t>oraz możliwości sfinansowania deficytu budżetu</w:t>
      </w:r>
      <w:r>
        <w:rPr>
          <w:b/>
        </w:rPr>
        <w:t xml:space="preserve"> Gminy Skomlin.</w:t>
      </w:r>
    </w:p>
    <w:p w14:paraId="1B1F1441" w14:textId="77777777" w:rsidR="00487CEF" w:rsidRDefault="00757E3D">
      <w:pPr>
        <w:ind w:left="-5"/>
      </w:pPr>
      <w:r>
        <w:t xml:space="preserve">Na podstawie art. 230 ust. 4 oraz art. 246 ust. 3 ustawy z dnia 27 sierpnia 2009 roku o finansach publicznych (tekst jednolity z 2019 roku, poz. 869 z </w:t>
      </w:r>
      <w:r>
        <w:t>późniejszymi</w:t>
      </w:r>
      <w:r>
        <w:t xml:space="preserve"> zmianami) w </w:t>
      </w:r>
      <w:r>
        <w:t>związku</w:t>
      </w:r>
      <w:r>
        <w:t xml:space="preserve"> z art. 19 ust. 2 ustawy z dnia 7 </w:t>
      </w:r>
      <w:r>
        <w:t>października</w:t>
      </w:r>
      <w:r>
        <w:t xml:space="preserve"> 1992 roku </w:t>
      </w:r>
      <w:r>
        <w:t xml:space="preserve">o regionalnych izbach obrachunkowych (tekst jednolity z 2019 roku, poz. 2137) </w:t>
      </w:r>
      <w:r>
        <w:t>Skład</w:t>
      </w:r>
      <w:r>
        <w:t xml:space="preserve"> </w:t>
      </w:r>
      <w:r>
        <w:t>Orzekający</w:t>
      </w:r>
      <w:r>
        <w:t xml:space="preserve"> Regionalnej Izby Obrachunkowej w </w:t>
      </w:r>
      <w:r>
        <w:t>Łodzi:</w:t>
      </w:r>
    </w:p>
    <w:p w14:paraId="1258BFA8" w14:textId="77777777" w:rsidR="00487CEF" w:rsidRDefault="00757E3D">
      <w:pPr>
        <w:numPr>
          <w:ilvl w:val="0"/>
          <w:numId w:val="1"/>
        </w:numPr>
        <w:spacing w:after="143" w:line="259" w:lineRule="auto"/>
        <w:ind w:hanging="360"/>
      </w:pPr>
      <w:r>
        <w:t>Paweł</w:t>
      </w:r>
      <w:r>
        <w:t xml:space="preserve"> </w:t>
      </w:r>
      <w:r>
        <w:t>Dobrzyński</w:t>
      </w:r>
      <w:r>
        <w:t xml:space="preserve">            - </w:t>
      </w:r>
      <w:r>
        <w:t>przewodnicząc</w:t>
      </w:r>
      <w:r>
        <w:t xml:space="preserve">y </w:t>
      </w:r>
    </w:p>
    <w:p w14:paraId="71BD52CA" w14:textId="77777777" w:rsidR="00487CEF" w:rsidRDefault="00757E3D">
      <w:pPr>
        <w:numPr>
          <w:ilvl w:val="0"/>
          <w:numId w:val="1"/>
        </w:numPr>
        <w:spacing w:line="259" w:lineRule="auto"/>
        <w:ind w:hanging="360"/>
      </w:pPr>
      <w:r>
        <w:t>Zofia Dolewka</w:t>
      </w:r>
      <w:r>
        <w:tab/>
        <w:t xml:space="preserve">     </w:t>
      </w:r>
      <w:r>
        <w:tab/>
        <w:t xml:space="preserve">- </w:t>
      </w:r>
      <w:r>
        <w:t>członek</w:t>
      </w:r>
    </w:p>
    <w:p w14:paraId="071E0985" w14:textId="77777777" w:rsidR="00487CEF" w:rsidRDefault="00757E3D">
      <w:pPr>
        <w:numPr>
          <w:ilvl w:val="0"/>
          <w:numId w:val="1"/>
        </w:numPr>
        <w:spacing w:after="357" w:line="259" w:lineRule="auto"/>
        <w:ind w:hanging="360"/>
      </w:pPr>
      <w:r>
        <w:t>Łukasz</w:t>
      </w:r>
      <w:r>
        <w:t xml:space="preserve"> Szczepanik</w:t>
      </w:r>
      <w:r>
        <w:rPr>
          <w:sz w:val="16"/>
        </w:rPr>
        <w:t xml:space="preserve">               </w:t>
      </w:r>
      <w:r>
        <w:t xml:space="preserve">- </w:t>
      </w:r>
      <w:r>
        <w:t>członek</w:t>
      </w:r>
      <w:r>
        <w:t xml:space="preserve"> </w:t>
      </w:r>
    </w:p>
    <w:p w14:paraId="265FE9CB" w14:textId="77777777" w:rsidR="00487CEF" w:rsidRDefault="00757E3D">
      <w:pPr>
        <w:spacing w:after="348" w:line="265" w:lineRule="auto"/>
        <w:ind w:left="1202" w:right="1192"/>
        <w:jc w:val="center"/>
      </w:pPr>
      <w:r>
        <w:rPr>
          <w:b/>
        </w:rPr>
        <w:t>uc</w:t>
      </w:r>
      <w:r>
        <w:rPr>
          <w:b/>
        </w:rPr>
        <w:t xml:space="preserve">hwala, co następuje: </w:t>
      </w:r>
    </w:p>
    <w:p w14:paraId="4898C63F" w14:textId="77777777" w:rsidR="00487CEF" w:rsidRDefault="00757E3D">
      <w:pPr>
        <w:spacing w:after="90" w:line="265" w:lineRule="auto"/>
        <w:ind w:left="1202" w:right="1192"/>
        <w:jc w:val="center"/>
      </w:pPr>
      <w:r>
        <w:rPr>
          <w:b/>
        </w:rPr>
        <w:t>§ 1</w:t>
      </w:r>
    </w:p>
    <w:p w14:paraId="27FA2CE4" w14:textId="77777777" w:rsidR="00487CEF" w:rsidRDefault="00757E3D">
      <w:pPr>
        <w:ind w:left="-5"/>
      </w:pPr>
      <w:r>
        <w:t xml:space="preserve">Opiniuje </w:t>
      </w:r>
      <w:r>
        <w:t>się</w:t>
      </w:r>
      <w:r>
        <w:t xml:space="preserve"> pozytywnie </w:t>
      </w:r>
      <w:r>
        <w:t>możliwość</w:t>
      </w:r>
      <w:r>
        <w:t xml:space="preserve"> sfinansowania przez </w:t>
      </w:r>
      <w:r>
        <w:t>Gminę</w:t>
      </w:r>
      <w:r>
        <w:t xml:space="preserve"> Skomlin deficytu </w:t>
      </w:r>
      <w:r>
        <w:t>budżetu</w:t>
      </w:r>
      <w:r>
        <w:t xml:space="preserve"> przedstawionego w uchwale </w:t>
      </w:r>
      <w:r>
        <w:t>budżetowej</w:t>
      </w:r>
      <w:r>
        <w:t xml:space="preserve"> na 2020 rok, </w:t>
      </w:r>
      <w:r>
        <w:rPr>
          <w:b/>
        </w:rPr>
        <w:t>z istotnymi uwagami zawartymi w uzasadnieniu</w:t>
      </w:r>
      <w:r>
        <w:t>.</w:t>
      </w:r>
    </w:p>
    <w:p w14:paraId="4398DDAD" w14:textId="77777777" w:rsidR="00487CEF" w:rsidRDefault="00757E3D">
      <w:pPr>
        <w:spacing w:after="228" w:line="265" w:lineRule="auto"/>
        <w:ind w:left="1202" w:right="1192"/>
        <w:jc w:val="center"/>
      </w:pPr>
      <w:r>
        <w:rPr>
          <w:b/>
        </w:rPr>
        <w:t>§ 2</w:t>
      </w:r>
    </w:p>
    <w:p w14:paraId="5A7D0E30" w14:textId="77777777" w:rsidR="00487CEF" w:rsidRDefault="00757E3D">
      <w:pPr>
        <w:spacing w:after="238"/>
        <w:ind w:left="-5"/>
      </w:pPr>
      <w:r>
        <w:t xml:space="preserve">Opiniuje </w:t>
      </w:r>
      <w:r>
        <w:t>się</w:t>
      </w:r>
      <w:r>
        <w:t xml:space="preserve"> pozytywnie </w:t>
      </w:r>
      <w:r>
        <w:t>prawidłowość</w:t>
      </w:r>
      <w:r>
        <w:t xml:space="preserve"> prognozy</w:t>
      </w:r>
      <w:r>
        <w:t xml:space="preserve"> kwoty </w:t>
      </w:r>
      <w:r>
        <w:t>długu</w:t>
      </w:r>
      <w:r>
        <w:t xml:space="preserve"> Gminy Skomlin na lata 2020-2031, </w:t>
      </w:r>
      <w:r>
        <w:rPr>
          <w:b/>
        </w:rPr>
        <w:t>z istotnymi uwagami zawartymi w uzasadnieniu</w:t>
      </w:r>
      <w:r>
        <w:t>.</w:t>
      </w:r>
    </w:p>
    <w:p w14:paraId="0A962733" w14:textId="77777777" w:rsidR="00487CEF" w:rsidRDefault="00757E3D">
      <w:pPr>
        <w:spacing w:after="348" w:line="265" w:lineRule="auto"/>
        <w:ind w:left="1202" w:right="483"/>
        <w:jc w:val="center"/>
      </w:pPr>
      <w:r>
        <w:rPr>
          <w:b/>
        </w:rPr>
        <w:t>U Z A S A D N I E N I E</w:t>
      </w:r>
    </w:p>
    <w:p w14:paraId="3D6A8840" w14:textId="77777777" w:rsidR="00487CEF" w:rsidRDefault="00757E3D">
      <w:pPr>
        <w:ind w:left="-15" w:firstLine="709"/>
      </w:pPr>
      <w:r>
        <w:t>Skład</w:t>
      </w:r>
      <w:r>
        <w:t xml:space="preserve"> </w:t>
      </w:r>
      <w:r>
        <w:t>Orzekający</w:t>
      </w:r>
      <w:r>
        <w:t xml:space="preserve"> </w:t>
      </w:r>
      <w:r>
        <w:t>wydał</w:t>
      </w:r>
      <w:r>
        <w:t xml:space="preserve"> przedmiotowe opinie na podstawie </w:t>
      </w:r>
      <w:r>
        <w:t>uchwał</w:t>
      </w:r>
      <w:r>
        <w:t xml:space="preserve"> Rady Gminy Skomlin </w:t>
      </w:r>
      <w:r>
        <w:t>podjętych</w:t>
      </w:r>
      <w:r>
        <w:t xml:space="preserve"> w dniu 30 grudnia 2019 roku:</w:t>
      </w:r>
    </w:p>
    <w:p w14:paraId="3AF9C5FC" w14:textId="77777777" w:rsidR="00487CEF" w:rsidRDefault="00757E3D">
      <w:pPr>
        <w:numPr>
          <w:ilvl w:val="0"/>
          <w:numId w:val="2"/>
        </w:numPr>
        <w:ind w:hanging="360"/>
      </w:pPr>
      <w:r>
        <w:t>Nr XIII/72/2019 w sprawie uchwalenia Wieloletniej Prognozy Finansowej Gminy Skomlin na lata 2020-2031,</w:t>
      </w:r>
    </w:p>
    <w:p w14:paraId="1B2D1A02" w14:textId="77777777" w:rsidR="00487CEF" w:rsidRDefault="00757E3D">
      <w:pPr>
        <w:numPr>
          <w:ilvl w:val="0"/>
          <w:numId w:val="2"/>
        </w:numPr>
        <w:spacing w:after="234" w:line="259" w:lineRule="auto"/>
        <w:ind w:hanging="360"/>
      </w:pPr>
      <w:r>
        <w:t xml:space="preserve">Nr XIII/73/2019 w sprawie uchwalenia </w:t>
      </w:r>
      <w:r>
        <w:t>budżetu</w:t>
      </w:r>
      <w:r>
        <w:t xml:space="preserve"> na 2020 rok.</w:t>
      </w:r>
    </w:p>
    <w:p w14:paraId="2C4B80D1" w14:textId="77777777" w:rsidR="00487CEF" w:rsidRDefault="00757E3D">
      <w:pPr>
        <w:spacing w:line="259" w:lineRule="auto"/>
        <w:ind w:left="-5"/>
      </w:pPr>
      <w:r>
        <w:t xml:space="preserve">W uchwale </w:t>
      </w:r>
      <w:r>
        <w:t>budżetowej</w:t>
      </w:r>
      <w:r>
        <w:t xml:space="preserve"> na 2020 rok przewidziane </w:t>
      </w:r>
      <w:r>
        <w:t>zostały</w:t>
      </w:r>
      <w:r>
        <w:t xml:space="preserve"> dochody w </w:t>
      </w:r>
      <w:r>
        <w:t>w</w:t>
      </w:r>
      <w:r>
        <w:t>ysokości</w:t>
      </w:r>
      <w:r>
        <w:t xml:space="preserve"> </w:t>
      </w:r>
    </w:p>
    <w:p w14:paraId="67998D58" w14:textId="77777777" w:rsidR="00487CEF" w:rsidRDefault="00757E3D">
      <w:pPr>
        <w:ind w:left="-5"/>
      </w:pPr>
      <w:r>
        <w:lastRenderedPageBreak/>
        <w:t xml:space="preserve">19.256.194,80,00 </w:t>
      </w:r>
      <w:r>
        <w:t>zł,</w:t>
      </w:r>
      <w:r>
        <w:t xml:space="preserve"> wydatki natomiast w kwocie 21.456.194,80 </w:t>
      </w:r>
      <w:r>
        <w:t>zł.</w:t>
      </w:r>
      <w:r>
        <w:t xml:space="preserve"> Zaplanowane dochody </w:t>
      </w:r>
      <w:r>
        <w:t>budżetu</w:t>
      </w:r>
      <w:r>
        <w:t xml:space="preserve"> </w:t>
      </w:r>
      <w:r>
        <w:t>są</w:t>
      </w:r>
      <w:r>
        <w:t xml:space="preserve"> </w:t>
      </w:r>
      <w:r>
        <w:t>niższe</w:t>
      </w:r>
      <w:r>
        <w:t xml:space="preserve"> od planowanych wydatków, co oznacza, </w:t>
      </w:r>
      <w:r>
        <w:t>że</w:t>
      </w:r>
      <w:r>
        <w:t xml:space="preserve"> w </w:t>
      </w:r>
      <w:r>
        <w:t>budżecie</w:t>
      </w:r>
      <w:r>
        <w:t xml:space="preserve"> Gminy planuje </w:t>
      </w:r>
      <w:r>
        <w:t>się</w:t>
      </w:r>
      <w:r>
        <w:t xml:space="preserve"> deficyt w </w:t>
      </w:r>
      <w:r>
        <w:t>wysokości</w:t>
      </w:r>
      <w:r>
        <w:t xml:space="preserve"> 2.200.000,00 </w:t>
      </w:r>
      <w:r>
        <w:t>zł,</w:t>
      </w:r>
      <w:r>
        <w:t xml:space="preserve"> jako </w:t>
      </w:r>
      <w:r>
        <w:t>różnica</w:t>
      </w:r>
      <w:r>
        <w:t xml:space="preserve"> </w:t>
      </w:r>
      <w:r>
        <w:t>pomiędzy</w:t>
      </w:r>
      <w:r>
        <w:t xml:space="preserve"> prognozowanymi dochodami a uchwalonymi wydatkami. W </w:t>
      </w:r>
      <w:r>
        <w:t>treści</w:t>
      </w:r>
      <w:r>
        <w:t xml:space="preserve"> </w:t>
      </w:r>
      <w:r>
        <w:t>uchwały</w:t>
      </w:r>
      <w:r>
        <w:t xml:space="preserve"> postanowiono, </w:t>
      </w:r>
      <w:r>
        <w:t>że</w:t>
      </w:r>
      <w:r>
        <w:t xml:space="preserve"> </w:t>
      </w:r>
      <w:r>
        <w:t>źródłem</w:t>
      </w:r>
      <w:r>
        <w:t xml:space="preserve"> sfinansowania deficytu </w:t>
      </w:r>
      <w:r>
        <w:t>będą</w:t>
      </w:r>
      <w:r>
        <w:t xml:space="preserve"> przychody </w:t>
      </w:r>
      <w:r>
        <w:t>pochodzące</w:t>
      </w:r>
      <w:r>
        <w:t xml:space="preserve"> z kredytów i </w:t>
      </w:r>
      <w:r>
        <w:t>pożyczek.</w:t>
      </w:r>
      <w:r>
        <w:t xml:space="preserve"> Wskazany sposób pokrycia planowanego deficytu </w:t>
      </w:r>
      <w:r>
        <w:t>budżetu</w:t>
      </w:r>
      <w:r>
        <w:t xml:space="preserve"> Gminy Skomlin na 2020 rok jest zgodny</w:t>
      </w:r>
      <w:r>
        <w:t xml:space="preserve"> z postanowieniami art. 217 ust. 2 ustawy z dnia 27 sierpnia 2009 roku o finansach publicznych. </w:t>
      </w:r>
    </w:p>
    <w:p w14:paraId="08D04463" w14:textId="77777777" w:rsidR="00487CEF" w:rsidRDefault="00757E3D">
      <w:pPr>
        <w:spacing w:after="120" w:line="357" w:lineRule="auto"/>
        <w:ind w:left="-15" w:firstLine="698"/>
        <w:jc w:val="left"/>
      </w:pPr>
      <w:r>
        <w:t>Przyjęte</w:t>
      </w:r>
      <w:r>
        <w:t xml:space="preserve"> w </w:t>
      </w:r>
      <w:r>
        <w:t>budżecie</w:t>
      </w:r>
      <w:r>
        <w:t xml:space="preserve"> przychody w </w:t>
      </w:r>
      <w:r>
        <w:t>wysokości</w:t>
      </w:r>
      <w:r>
        <w:t xml:space="preserve"> 2.496.200,00 </w:t>
      </w:r>
      <w:r>
        <w:t>zł</w:t>
      </w:r>
      <w:r>
        <w:t xml:space="preserve"> </w:t>
      </w:r>
      <w:r>
        <w:t>pochodzić</w:t>
      </w:r>
      <w:r>
        <w:t xml:space="preserve"> </w:t>
      </w:r>
      <w:r>
        <w:t>będą</w:t>
      </w:r>
      <w:r>
        <w:t xml:space="preserve">  z planowanych do </w:t>
      </w:r>
      <w:r>
        <w:t>zaciągnięcia</w:t>
      </w:r>
      <w:r>
        <w:t xml:space="preserve"> kredytów i </w:t>
      </w:r>
      <w:r>
        <w:t>pożyczek.</w:t>
      </w:r>
    </w:p>
    <w:p w14:paraId="38DC2E28" w14:textId="77777777" w:rsidR="00487CEF" w:rsidRDefault="00757E3D">
      <w:pPr>
        <w:spacing w:after="0" w:line="357" w:lineRule="auto"/>
        <w:ind w:left="-15" w:firstLine="698"/>
        <w:jc w:val="left"/>
      </w:pPr>
      <w:r>
        <w:t xml:space="preserve">Zaplanowane rozchody </w:t>
      </w:r>
      <w:r>
        <w:t>budżetu</w:t>
      </w:r>
      <w:r>
        <w:t xml:space="preserve"> w kwo</w:t>
      </w:r>
      <w:r>
        <w:t xml:space="preserve">cie 296.200,00 </w:t>
      </w:r>
      <w:r>
        <w:t>zł</w:t>
      </w:r>
      <w:r>
        <w:t xml:space="preserve"> </w:t>
      </w:r>
      <w:r>
        <w:t>obejmują</w:t>
      </w:r>
      <w:r>
        <w:t xml:space="preserve"> </w:t>
      </w:r>
      <w:r>
        <w:t>spłaty</w:t>
      </w:r>
      <w:r>
        <w:t xml:space="preserve"> rat </w:t>
      </w:r>
      <w:r>
        <w:t>wcześniej</w:t>
      </w:r>
      <w:r>
        <w:t xml:space="preserve"> </w:t>
      </w:r>
      <w:r>
        <w:t>zaciągniętych</w:t>
      </w:r>
      <w:r>
        <w:t xml:space="preserve"> </w:t>
      </w:r>
      <w:r>
        <w:t>zobowiązań</w:t>
      </w:r>
      <w:r>
        <w:t xml:space="preserve"> </w:t>
      </w:r>
      <w:r>
        <w:t>długoterminowych.</w:t>
      </w:r>
    </w:p>
    <w:p w14:paraId="71E3841A" w14:textId="77777777" w:rsidR="00487CEF" w:rsidRDefault="00757E3D">
      <w:pPr>
        <w:spacing w:after="0"/>
        <w:ind w:left="-15" w:firstLine="720"/>
      </w:pPr>
      <w:r>
        <w:t xml:space="preserve">Przeprowadzona analiza </w:t>
      </w:r>
      <w:r>
        <w:t>uchwał</w:t>
      </w:r>
      <w:r>
        <w:t xml:space="preserve"> </w:t>
      </w:r>
      <w:r>
        <w:t>podjętych</w:t>
      </w:r>
      <w:r>
        <w:t xml:space="preserve"> na sesji w dniu 30 grudnia 2019 roku </w:t>
      </w:r>
      <w:r>
        <w:t>wykazała,</w:t>
      </w:r>
      <w:r>
        <w:t xml:space="preserve"> </w:t>
      </w:r>
      <w:r>
        <w:t>że</w:t>
      </w:r>
      <w:r>
        <w:t xml:space="preserve"> </w:t>
      </w:r>
      <w:r>
        <w:t>wielkości</w:t>
      </w:r>
      <w:r>
        <w:t xml:space="preserve"> </w:t>
      </w:r>
      <w:r>
        <w:t>przyjęte</w:t>
      </w:r>
      <w:r>
        <w:t xml:space="preserve"> w wieloletniej prognozie finansowej i </w:t>
      </w:r>
      <w:r>
        <w:t>budżecie</w:t>
      </w:r>
      <w:r>
        <w:t xml:space="preserve"> na 2020 r</w:t>
      </w:r>
      <w:r>
        <w:t xml:space="preserve">ok </w:t>
      </w:r>
      <w:r>
        <w:t>są</w:t>
      </w:r>
      <w:r>
        <w:t xml:space="preserve"> zgodne w zakresie </w:t>
      </w:r>
      <w:r>
        <w:t>wynikającym</w:t>
      </w:r>
      <w:r>
        <w:t xml:space="preserve"> z art. 229 ustawy o finansach publicznych.</w:t>
      </w:r>
    </w:p>
    <w:p w14:paraId="404FD5E7" w14:textId="77777777" w:rsidR="00487CEF" w:rsidRDefault="00757E3D">
      <w:pPr>
        <w:spacing w:after="1"/>
        <w:ind w:left="-15" w:firstLine="720"/>
      </w:pPr>
      <w:r>
        <w:t xml:space="preserve">Z przedstawionej prognozy wynika, </w:t>
      </w:r>
      <w:r>
        <w:t>że</w:t>
      </w:r>
      <w:r>
        <w:t xml:space="preserve"> w latach 2020-2031 </w:t>
      </w:r>
      <w:r>
        <w:t>spełniona</w:t>
      </w:r>
      <w:r>
        <w:t xml:space="preserve"> zostanie zasada </w:t>
      </w:r>
      <w:r>
        <w:t>określona</w:t>
      </w:r>
      <w:r>
        <w:t xml:space="preserve"> w art. 242 ustawy o finansach publicznych, bowiem prognozowane dochody </w:t>
      </w:r>
      <w:r>
        <w:t>bieżące</w:t>
      </w:r>
      <w:r>
        <w:t xml:space="preserve"> </w:t>
      </w:r>
      <w:r>
        <w:t>budżetów</w:t>
      </w:r>
      <w:r>
        <w:t xml:space="preserve"> w tych latach zaplanowano w </w:t>
      </w:r>
      <w:r>
        <w:t>wysokościach</w:t>
      </w:r>
      <w:r>
        <w:t xml:space="preserve"> </w:t>
      </w:r>
      <w:r>
        <w:t>wyższych</w:t>
      </w:r>
      <w:r>
        <w:t xml:space="preserve"> </w:t>
      </w:r>
      <w:r>
        <w:t>aniżeli</w:t>
      </w:r>
      <w:r>
        <w:t xml:space="preserve"> wydatki </w:t>
      </w:r>
      <w:r>
        <w:t>bieżące.</w:t>
      </w:r>
      <w:r>
        <w:t xml:space="preserve"> Przy </w:t>
      </w:r>
      <w:r>
        <w:t>powyższym</w:t>
      </w:r>
      <w:r>
        <w:t xml:space="preserve"> </w:t>
      </w:r>
      <w:r>
        <w:t>Skład</w:t>
      </w:r>
      <w:r>
        <w:t xml:space="preserve"> </w:t>
      </w:r>
      <w:r>
        <w:t>Orzekający</w:t>
      </w:r>
      <w:r>
        <w:t xml:space="preserve"> wskazuje, </w:t>
      </w:r>
      <w:r>
        <w:t>iż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bacząc na relacje dochodów bieżących </w:t>
      </w:r>
    </w:p>
    <w:p w14:paraId="51CDCD84" w14:textId="77777777" w:rsidR="00487CEF" w:rsidRDefault="00757E3D">
      <w:pPr>
        <w:spacing w:after="0" w:line="357" w:lineRule="auto"/>
        <w:ind w:left="0" w:firstLine="0"/>
      </w:pPr>
      <w:r>
        <w:rPr>
          <w:b/>
        </w:rPr>
        <w:t>do wydatk</w:t>
      </w:r>
      <w:r>
        <w:rPr>
          <w:b/>
        </w:rPr>
        <w:t>ów bieżących w latach 2017-2018 (10.668,72 zł, 1.041.574,31 zł) i przewidywany wynik na działalności operacyjnej na koniec 2019 roku (126.071,57 zł), osiągnięcie zakładanych nadwyżek operacyjnych w 2020 roku (992.130,80 zł) oraz w latach kolejnych (np. 1.5</w:t>
      </w:r>
      <w:r>
        <w:rPr>
          <w:b/>
        </w:rPr>
        <w:t xml:space="preserve">03.641,00 zł w 2021 roku), wymagać będzie </w:t>
      </w:r>
      <w:r>
        <w:rPr>
          <w:b/>
          <w:u w:val="single" w:color="000000"/>
        </w:rPr>
        <w:t>szczególnej dyscypliny w ponoszeniu</w:t>
      </w:r>
      <w:r>
        <w:rPr>
          <w:b/>
        </w:rPr>
        <w:t xml:space="preserve"> </w:t>
      </w:r>
      <w:r>
        <w:rPr>
          <w:b/>
          <w:u w:val="single" w:color="000000"/>
        </w:rPr>
        <w:t>wydatków</w:t>
      </w:r>
      <w:r>
        <w:rPr>
          <w:b/>
        </w:rPr>
        <w:t xml:space="preserve"> jak również </w:t>
      </w:r>
      <w:r>
        <w:rPr>
          <w:b/>
          <w:u w:val="single" w:color="000000"/>
        </w:rPr>
        <w:t>pełnego wykonania dochodów bieżących prognozowanych przez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Gminę </w:t>
      </w:r>
      <w:r>
        <w:rPr>
          <w:b/>
        </w:rPr>
        <w:t>w okresie objętym wieloletnią prognozą finansową. W przypadku dochodów bieżących, zaplanowany</w:t>
      </w:r>
      <w:r>
        <w:rPr>
          <w:b/>
        </w:rPr>
        <w:t>ch przez Gminę w latach objętych prognozą finansową na poziomie znacznie przewyższającym wielkości uzyskane w latach 2017-2018 i planowane do uzyskania w 2019 roku, niezwykle istotny będzie poziom realizacji dochodów własnych, w tym z tytułu podatków i opł</w:t>
      </w:r>
      <w:r>
        <w:rPr>
          <w:b/>
        </w:rPr>
        <w:t>at lokalnych.</w:t>
      </w:r>
    </w:p>
    <w:p w14:paraId="5F522F8C" w14:textId="77777777" w:rsidR="00487CEF" w:rsidRDefault="00757E3D">
      <w:pPr>
        <w:ind w:left="-15" w:firstLine="708"/>
      </w:pPr>
      <w:r>
        <w:t>Prognozę</w:t>
      </w:r>
      <w:r>
        <w:t xml:space="preserve"> kwoty </w:t>
      </w:r>
      <w:r>
        <w:t>długu</w:t>
      </w:r>
      <w:r>
        <w:t xml:space="preserve"> </w:t>
      </w:r>
      <w:r>
        <w:t>sporządzono</w:t>
      </w:r>
      <w:r>
        <w:t xml:space="preserve"> na okres, na który </w:t>
      </w:r>
      <w:r>
        <w:t>zaciągnięto</w:t>
      </w:r>
      <w:r>
        <w:t xml:space="preserve"> oraz planuje </w:t>
      </w:r>
      <w:r>
        <w:t>się</w:t>
      </w:r>
      <w:r>
        <w:t xml:space="preserve"> </w:t>
      </w:r>
      <w:r>
        <w:t>zaciągnąć</w:t>
      </w:r>
      <w:r>
        <w:t xml:space="preserve"> </w:t>
      </w:r>
      <w:r>
        <w:t>zobowiązania.</w:t>
      </w:r>
      <w:r>
        <w:t xml:space="preserve"> Planowana kwota </w:t>
      </w:r>
      <w:r>
        <w:t>długu</w:t>
      </w:r>
      <w:r>
        <w:t xml:space="preserve"> w roku 2020 i w latach </w:t>
      </w:r>
      <w:r>
        <w:t>następnych</w:t>
      </w:r>
      <w:r>
        <w:t xml:space="preserve"> jest zgodna z </w:t>
      </w:r>
      <w:r>
        <w:t>zaciągniętymi</w:t>
      </w:r>
      <w:r>
        <w:t xml:space="preserve"> </w:t>
      </w:r>
      <w:r>
        <w:t>zobowiązaniami</w:t>
      </w:r>
      <w:r>
        <w:t xml:space="preserve"> </w:t>
      </w:r>
      <w:r>
        <w:t>długoterminowymi</w:t>
      </w:r>
      <w:r>
        <w:t xml:space="preserve"> do dnia 31 grudnia 20</w:t>
      </w:r>
      <w:r>
        <w:t>19 roku</w:t>
      </w:r>
      <w:r>
        <w:rPr>
          <w:color w:val="FF0000"/>
        </w:rPr>
        <w:t xml:space="preserve"> </w:t>
      </w:r>
      <w:r>
        <w:t xml:space="preserve">oraz z planowanymi do </w:t>
      </w:r>
      <w:r>
        <w:t>zaciągnięcia</w:t>
      </w:r>
      <w:r>
        <w:t xml:space="preserve"> w 2020 i 2021 roku kredytami i </w:t>
      </w:r>
      <w:r>
        <w:t>pożyczkami.</w:t>
      </w:r>
      <w:r>
        <w:t xml:space="preserve"> Od 2022 roku jednostka nie planuje </w:t>
      </w:r>
      <w:r>
        <w:t>zaciągać</w:t>
      </w:r>
      <w:r>
        <w:t xml:space="preserve"> nowych </w:t>
      </w:r>
      <w:r>
        <w:t>zobowiązań</w:t>
      </w:r>
      <w:r>
        <w:t xml:space="preserve"> zwrotnych. W latach 2022-2031 </w:t>
      </w:r>
      <w:r>
        <w:t>przypadające</w:t>
      </w:r>
      <w:r>
        <w:t xml:space="preserve"> </w:t>
      </w:r>
      <w:r>
        <w:lastRenderedPageBreak/>
        <w:t xml:space="preserve">w danym roku </w:t>
      </w:r>
      <w:r>
        <w:t>spłaty</w:t>
      </w:r>
      <w:r>
        <w:t xml:space="preserve"> z </w:t>
      </w:r>
      <w:r>
        <w:t>tytułu</w:t>
      </w:r>
      <w:r>
        <w:t xml:space="preserve"> </w:t>
      </w:r>
      <w:r>
        <w:t>zaciągniętych</w:t>
      </w:r>
      <w:r>
        <w:t xml:space="preserve"> </w:t>
      </w:r>
      <w:r>
        <w:t>wcześniej</w:t>
      </w:r>
      <w:r>
        <w:t xml:space="preserve"> </w:t>
      </w:r>
      <w:r>
        <w:t>zobowiązań</w:t>
      </w:r>
      <w:r>
        <w:t xml:space="preserve"> finansowane </w:t>
      </w:r>
      <w:r>
        <w:t>będą</w:t>
      </w:r>
      <w:r>
        <w:t xml:space="preserve"> z prognozowanych </w:t>
      </w:r>
      <w:r>
        <w:t>nadwyżek</w:t>
      </w:r>
      <w:r>
        <w:t xml:space="preserve"> </w:t>
      </w:r>
      <w:r>
        <w:t>budżetu.</w:t>
      </w:r>
    </w:p>
    <w:p w14:paraId="6EF6EB98" w14:textId="77777777" w:rsidR="00487CEF" w:rsidRDefault="00757E3D">
      <w:pPr>
        <w:spacing w:after="257" w:line="259" w:lineRule="auto"/>
        <w:ind w:left="-15" w:firstLine="709"/>
      </w:pPr>
      <w:r>
        <w:t xml:space="preserve">W </w:t>
      </w:r>
      <w:r>
        <w:t>świetle</w:t>
      </w:r>
      <w:r>
        <w:t xml:space="preserve"> </w:t>
      </w:r>
      <w:r>
        <w:t>obowiązujących</w:t>
      </w:r>
      <w:r>
        <w:t xml:space="preserve"> przepisów prawa </w:t>
      </w:r>
      <w:r>
        <w:t>możliwość</w:t>
      </w:r>
      <w:r>
        <w:t xml:space="preserve"> </w:t>
      </w:r>
      <w:r>
        <w:t>zadłużania</w:t>
      </w:r>
      <w:r>
        <w:t xml:space="preserve"> </w:t>
      </w:r>
      <w:r>
        <w:t>się</w:t>
      </w:r>
      <w:r>
        <w:t xml:space="preserve"> danej jednostki </w:t>
      </w:r>
      <w:r>
        <w:t>samorządu</w:t>
      </w:r>
      <w:r>
        <w:t xml:space="preserve"> terytorialnego wyznacza </w:t>
      </w:r>
      <w:r>
        <w:t>reguła</w:t>
      </w:r>
      <w:r>
        <w:t xml:space="preserve"> </w:t>
      </w:r>
      <w:r>
        <w:t>wynikającą</w:t>
      </w:r>
      <w:r>
        <w:t xml:space="preserve"> z art. 243 ustawy o finansach publicznych. Na podstawie wieloletniej prognozy finansowej ustalono, </w:t>
      </w:r>
      <w:r>
        <w:t>że</w:t>
      </w:r>
      <w:r>
        <w:t xml:space="preserve"> relacje wyliczone w oparciu o wskazany </w:t>
      </w:r>
      <w:r>
        <w:t>wyżej</w:t>
      </w:r>
      <w:r>
        <w:t xml:space="preserve"> przepis, w latach 2020 – 2031, </w:t>
      </w:r>
      <w:r>
        <w:t>przedstawiać</w:t>
      </w:r>
      <w:r>
        <w:t xml:space="preserve"> </w:t>
      </w:r>
      <w:r>
        <w:t>się</w:t>
      </w:r>
      <w:r>
        <w:t xml:space="preserve"> </w:t>
      </w:r>
      <w:r>
        <w:t>będą</w:t>
      </w:r>
      <w:r>
        <w:t xml:space="preserve"> </w:t>
      </w:r>
      <w:r>
        <w:t>następująco:</w:t>
      </w:r>
    </w:p>
    <w:tbl>
      <w:tblPr>
        <w:tblStyle w:val="TableGrid"/>
        <w:tblW w:w="9465" w:type="dxa"/>
        <w:tblInd w:w="-56" w:type="dxa"/>
        <w:tblCellMar>
          <w:top w:w="173" w:type="dxa"/>
          <w:left w:w="112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902"/>
        <w:gridCol w:w="1431"/>
        <w:gridCol w:w="2801"/>
        <w:gridCol w:w="2738"/>
        <w:gridCol w:w="1593"/>
      </w:tblGrid>
      <w:tr w:rsidR="00487CEF" w14:paraId="2B92FD9F" w14:textId="77777777">
        <w:trPr>
          <w:trHeight w:val="306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08FA" w14:textId="77777777" w:rsidR="00487CEF" w:rsidRDefault="00757E3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Lata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21E3" w14:textId="77777777" w:rsidR="00487CEF" w:rsidRDefault="00757E3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Kwota długu na koniec roku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A461" w14:textId="77777777" w:rsidR="00487CEF" w:rsidRDefault="00757E3D">
            <w:pPr>
              <w:spacing w:after="0" w:line="240" w:lineRule="auto"/>
              <w:ind w:left="0" w:firstLine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Relacja łą</w:t>
            </w:r>
            <w:r>
              <w:rPr>
                <w:rFonts w:ascii="Arial" w:eastAsia="Arial" w:hAnsi="Arial" w:cs="Arial"/>
                <w:b/>
                <w:sz w:val="16"/>
              </w:rPr>
              <w:t xml:space="preserve">cznej kwoty przypadających w danym roku zobowiązań wraz z wydatkami </w:t>
            </w:r>
          </w:p>
          <w:p w14:paraId="5C390FCE" w14:textId="77777777" w:rsidR="00487CEF" w:rsidRDefault="00757E3D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bieżącymi na obsługę długu do planowanych dochodów </w:t>
            </w:r>
          </w:p>
          <w:p w14:paraId="14203844" w14:textId="77777777" w:rsidR="00487CEF" w:rsidRDefault="00757E3D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bieżących, o której mowa w art. </w:t>
            </w:r>
          </w:p>
          <w:p w14:paraId="331B47CB" w14:textId="77777777" w:rsidR="00487CEF" w:rsidRDefault="00757E3D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243 ust. 1 ustawy (po uwzględnieniu zobowiązań </w:t>
            </w:r>
          </w:p>
          <w:p w14:paraId="389E0E57" w14:textId="77777777" w:rsidR="00487CEF" w:rsidRDefault="00757E3D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związku współtworzonego przez jednostkę samorządu </w:t>
            </w:r>
          </w:p>
          <w:p w14:paraId="2298E00C" w14:textId="77777777" w:rsidR="00487CEF" w:rsidRDefault="00757E3D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ytorialnego oraz po </w:t>
            </w:r>
          </w:p>
          <w:p w14:paraId="5DD7E7ED" w14:textId="77777777" w:rsidR="00487CEF" w:rsidRDefault="00757E3D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uwzględnieniu ustawowych </w:t>
            </w:r>
          </w:p>
          <w:p w14:paraId="3EE95872" w14:textId="77777777" w:rsidR="00487CEF" w:rsidRDefault="00757E3D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wyłączeń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przypadających na </w:t>
            </w:r>
          </w:p>
          <w:p w14:paraId="18F2F617" w14:textId="77777777" w:rsidR="00487CEF" w:rsidRDefault="00757E3D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dany rok)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A0AE" w14:textId="77777777" w:rsidR="00487CEF" w:rsidRDefault="00757E3D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Dopuszczalny wskaźnik spłaty zobowiązań wynikający z art. 243 ustawy po uwzględnieniu ustawowych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wyłączeń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</w:p>
          <w:p w14:paraId="5A3C0242" w14:textId="77777777" w:rsidR="00487CEF" w:rsidRDefault="00757E3D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obliczony w oparciu o plan trzech kwartałów roku </w:t>
            </w:r>
          </w:p>
          <w:p w14:paraId="4B2F9004" w14:textId="77777777" w:rsidR="00487CEF" w:rsidRDefault="00757E3D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poprzedzającego pierwszy rok </w:t>
            </w:r>
          </w:p>
          <w:p w14:paraId="7AB4D4D2" w14:textId="77777777" w:rsidR="00487CEF" w:rsidRDefault="00757E3D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prognozy (wskaźnik ustalony w </w:t>
            </w:r>
          </w:p>
          <w:p w14:paraId="065587A9" w14:textId="77777777" w:rsidR="00487CEF" w:rsidRDefault="00757E3D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oparciu o średnią arytmetyczną </w:t>
            </w:r>
          </w:p>
          <w:p w14:paraId="1A420C2E" w14:textId="77777777" w:rsidR="00487CEF" w:rsidRDefault="00757E3D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z poprzednich lat)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F382" w14:textId="77777777" w:rsidR="00487CEF" w:rsidRDefault="00757E3D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spełnienie </w:t>
            </w:r>
          </w:p>
          <w:p w14:paraId="2E5FC846" w14:textId="77777777" w:rsidR="00487CEF" w:rsidRDefault="00757E3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wskaźnika spłaty tak/nie</w:t>
            </w:r>
          </w:p>
        </w:tc>
      </w:tr>
      <w:tr w:rsidR="00487CEF" w14:paraId="059A9060" w14:textId="77777777">
        <w:trPr>
          <w:trHeight w:val="42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8E95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2020</w:t>
            </w:r>
          </w:p>
          <w:p w14:paraId="6622D174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2021</w:t>
            </w:r>
          </w:p>
          <w:p w14:paraId="60CA3B7C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2022</w:t>
            </w:r>
          </w:p>
          <w:p w14:paraId="4958F6E9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2023</w:t>
            </w:r>
          </w:p>
          <w:p w14:paraId="750533F0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2024</w:t>
            </w:r>
          </w:p>
          <w:p w14:paraId="63A68295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2025</w:t>
            </w:r>
          </w:p>
          <w:p w14:paraId="05EC8CD6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2026</w:t>
            </w:r>
          </w:p>
          <w:p w14:paraId="5EE3A723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2027</w:t>
            </w:r>
          </w:p>
          <w:p w14:paraId="5E8FC8CC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2028</w:t>
            </w:r>
          </w:p>
          <w:p w14:paraId="4D172734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2029</w:t>
            </w:r>
          </w:p>
          <w:p w14:paraId="0C47E1B7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2030</w:t>
            </w:r>
          </w:p>
          <w:p w14:paraId="3CAAEB91" w14:textId="77777777" w:rsidR="00487CEF" w:rsidRDefault="00757E3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2031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FB76" w14:textId="77777777" w:rsidR="00487CEF" w:rsidRDefault="00757E3D">
            <w:pPr>
              <w:numPr>
                <w:ilvl w:val="0"/>
                <w:numId w:val="3"/>
              </w:numPr>
              <w:spacing w:after="95" w:line="259" w:lineRule="auto"/>
              <w:ind w:hanging="250"/>
              <w:jc w:val="left"/>
            </w:pPr>
            <w:r>
              <w:rPr>
                <w:sz w:val="20"/>
              </w:rPr>
              <w:t>598.626,00</w:t>
            </w:r>
          </w:p>
          <w:p w14:paraId="408A92EB" w14:textId="77777777" w:rsidR="00487CEF" w:rsidRDefault="00757E3D">
            <w:pPr>
              <w:numPr>
                <w:ilvl w:val="0"/>
                <w:numId w:val="3"/>
              </w:numPr>
              <w:spacing w:after="95" w:line="259" w:lineRule="auto"/>
              <w:ind w:hanging="250"/>
              <w:jc w:val="left"/>
            </w:pPr>
            <w:r>
              <w:rPr>
                <w:sz w:val="20"/>
              </w:rPr>
              <w:t>537.731,00</w:t>
            </w:r>
          </w:p>
          <w:p w14:paraId="1F330BED" w14:textId="77777777" w:rsidR="00487CEF" w:rsidRDefault="00757E3D">
            <w:pPr>
              <w:spacing w:after="95" w:line="259" w:lineRule="auto"/>
              <w:ind w:left="151" w:firstLine="0"/>
              <w:jc w:val="left"/>
            </w:pPr>
            <w:r>
              <w:rPr>
                <w:sz w:val="20"/>
              </w:rPr>
              <w:t>8.747.826,00</w:t>
            </w:r>
          </w:p>
          <w:p w14:paraId="045D52AD" w14:textId="77777777" w:rsidR="00487CEF" w:rsidRDefault="00757E3D">
            <w:pPr>
              <w:spacing w:after="95" w:line="259" w:lineRule="auto"/>
              <w:ind w:left="151" w:firstLine="0"/>
              <w:jc w:val="left"/>
            </w:pPr>
            <w:r>
              <w:rPr>
                <w:sz w:val="20"/>
              </w:rPr>
              <w:t>7.707.826,00</w:t>
            </w:r>
          </w:p>
          <w:p w14:paraId="0B396695" w14:textId="77777777" w:rsidR="00487CEF" w:rsidRDefault="00757E3D">
            <w:pPr>
              <w:spacing w:after="95" w:line="259" w:lineRule="auto"/>
              <w:ind w:left="151" w:firstLine="0"/>
              <w:jc w:val="left"/>
            </w:pPr>
            <w:r>
              <w:rPr>
                <w:sz w:val="20"/>
              </w:rPr>
              <w:t>6.730.326,00</w:t>
            </w:r>
          </w:p>
          <w:p w14:paraId="34210A4B" w14:textId="77777777" w:rsidR="00487CEF" w:rsidRDefault="00757E3D">
            <w:pPr>
              <w:spacing w:after="95" w:line="259" w:lineRule="auto"/>
              <w:ind w:left="151" w:firstLine="0"/>
              <w:jc w:val="left"/>
            </w:pPr>
            <w:r>
              <w:rPr>
                <w:sz w:val="20"/>
              </w:rPr>
              <w:t>5.746.800,00</w:t>
            </w:r>
          </w:p>
          <w:p w14:paraId="7294A082" w14:textId="77777777" w:rsidR="00487CEF" w:rsidRDefault="00757E3D">
            <w:pPr>
              <w:spacing w:after="95" w:line="259" w:lineRule="auto"/>
              <w:ind w:left="151" w:firstLine="0"/>
              <w:jc w:val="left"/>
            </w:pPr>
            <w:r>
              <w:rPr>
                <w:sz w:val="20"/>
              </w:rPr>
              <w:t>4.752.300,00</w:t>
            </w:r>
          </w:p>
          <w:p w14:paraId="4ADE7D15" w14:textId="77777777" w:rsidR="00487CEF" w:rsidRDefault="00757E3D">
            <w:pPr>
              <w:spacing w:after="95" w:line="259" w:lineRule="auto"/>
              <w:ind w:left="151" w:firstLine="0"/>
              <w:jc w:val="left"/>
            </w:pPr>
            <w:r>
              <w:rPr>
                <w:sz w:val="20"/>
              </w:rPr>
              <w:t>3.971.800,00</w:t>
            </w:r>
          </w:p>
          <w:p w14:paraId="54717129" w14:textId="77777777" w:rsidR="00487CEF" w:rsidRDefault="00757E3D">
            <w:pPr>
              <w:spacing w:after="95" w:line="259" w:lineRule="auto"/>
              <w:ind w:left="151" w:firstLine="0"/>
              <w:jc w:val="left"/>
            </w:pPr>
            <w:r>
              <w:rPr>
                <w:sz w:val="20"/>
              </w:rPr>
              <w:t>2.911.100,00</w:t>
            </w:r>
          </w:p>
          <w:p w14:paraId="1F0F0644" w14:textId="77777777" w:rsidR="00487CEF" w:rsidRDefault="00757E3D">
            <w:pPr>
              <w:spacing w:after="95" w:line="259" w:lineRule="auto"/>
              <w:ind w:left="151" w:firstLine="0"/>
              <w:jc w:val="left"/>
            </w:pPr>
            <w:r>
              <w:rPr>
                <w:sz w:val="20"/>
              </w:rPr>
              <w:t>1.981.100,00</w:t>
            </w:r>
          </w:p>
          <w:p w14:paraId="1E702669" w14:textId="77777777" w:rsidR="00487CEF" w:rsidRDefault="00757E3D">
            <w:pPr>
              <w:spacing w:after="95" w:line="259" w:lineRule="auto"/>
              <w:ind w:left="151" w:firstLine="0"/>
              <w:jc w:val="left"/>
            </w:pPr>
            <w:r>
              <w:rPr>
                <w:sz w:val="20"/>
              </w:rPr>
              <w:t>1.131.100,00</w:t>
            </w:r>
          </w:p>
          <w:p w14:paraId="4F7E5D77" w14:textId="77777777" w:rsidR="00487CEF" w:rsidRDefault="00757E3D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20"/>
              </w:rPr>
              <w:t>-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7778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4,10%</w:t>
            </w:r>
          </w:p>
          <w:p w14:paraId="1AF81D40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6,75,%</w:t>
            </w:r>
          </w:p>
          <w:p w14:paraId="3B86CDE2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6,80%</w:t>
            </w:r>
          </w:p>
          <w:p w14:paraId="3D952254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8,88%</w:t>
            </w:r>
          </w:p>
          <w:p w14:paraId="1D52D872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8,13%</w:t>
            </w:r>
          </w:p>
          <w:p w14:paraId="0E463E6C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7,82%</w:t>
            </w:r>
          </w:p>
          <w:p w14:paraId="37D560C5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7,56%</w:t>
            </w:r>
          </w:p>
          <w:p w14:paraId="0FEE2D80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5,90%</w:t>
            </w:r>
            <w:bookmarkStart w:id="0" w:name="_GoBack"/>
            <w:bookmarkEnd w:id="0"/>
          </w:p>
          <w:p w14:paraId="3F54495D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7,46%</w:t>
            </w:r>
          </w:p>
          <w:p w14:paraId="1F8F41AA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6,23%</w:t>
            </w:r>
          </w:p>
          <w:p w14:paraId="55D6D82B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5,52%</w:t>
            </w:r>
          </w:p>
          <w:p w14:paraId="2E2FD96A" w14:textId="77777777" w:rsidR="00487CEF" w:rsidRDefault="00757E3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6,76%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91A5" w14:textId="77777777" w:rsidR="00487CEF" w:rsidRDefault="00757E3D">
            <w:pPr>
              <w:spacing w:after="0" w:line="357" w:lineRule="auto"/>
              <w:ind w:left="708" w:right="753" w:firstLine="0"/>
              <w:jc w:val="center"/>
            </w:pPr>
            <w:r>
              <w:rPr>
                <w:b/>
                <w:sz w:val="20"/>
              </w:rPr>
              <w:t>4,15% 6,84% 7,30%</w:t>
            </w:r>
          </w:p>
          <w:p w14:paraId="3644547D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13,96%</w:t>
            </w:r>
          </w:p>
          <w:p w14:paraId="766A0876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18,17%</w:t>
            </w:r>
          </w:p>
          <w:p w14:paraId="5CD39AE4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20,96%</w:t>
            </w:r>
          </w:p>
          <w:p w14:paraId="3CE9F8C4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16,30%</w:t>
            </w:r>
          </w:p>
          <w:p w14:paraId="76F94C2B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18,56%</w:t>
            </w:r>
          </w:p>
          <w:p w14:paraId="54EC0D13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19,58%</w:t>
            </w:r>
          </w:p>
          <w:p w14:paraId="7EBE6AB0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20,42%</w:t>
            </w:r>
          </w:p>
          <w:p w14:paraId="6A0FEB81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19,54%</w:t>
            </w:r>
          </w:p>
          <w:p w14:paraId="7FCAA095" w14:textId="77777777" w:rsidR="00487CEF" w:rsidRDefault="00757E3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18,62%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637A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TAK</w:t>
            </w:r>
          </w:p>
          <w:p w14:paraId="0117EFCE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TAK</w:t>
            </w:r>
          </w:p>
          <w:p w14:paraId="0E5752F5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TAK</w:t>
            </w:r>
          </w:p>
          <w:p w14:paraId="47163F6C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TAK</w:t>
            </w:r>
          </w:p>
          <w:p w14:paraId="3B8BDCFA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TAK</w:t>
            </w:r>
          </w:p>
          <w:p w14:paraId="7FA93098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TAK</w:t>
            </w:r>
          </w:p>
          <w:p w14:paraId="18BA25E4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TAK</w:t>
            </w:r>
          </w:p>
          <w:p w14:paraId="384C5A3F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TAK</w:t>
            </w:r>
          </w:p>
          <w:p w14:paraId="642EE220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TAK</w:t>
            </w:r>
          </w:p>
          <w:p w14:paraId="75A5CB26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TAK</w:t>
            </w:r>
          </w:p>
          <w:p w14:paraId="746F75BA" w14:textId="77777777" w:rsidR="00487CEF" w:rsidRDefault="00757E3D">
            <w:pPr>
              <w:spacing w:after="95" w:line="259" w:lineRule="auto"/>
              <w:ind w:left="0" w:right="45" w:firstLine="0"/>
              <w:jc w:val="center"/>
            </w:pPr>
            <w:r>
              <w:rPr>
                <w:sz w:val="20"/>
              </w:rPr>
              <w:t>TAK</w:t>
            </w:r>
          </w:p>
          <w:p w14:paraId="73044366" w14:textId="77777777" w:rsidR="00487CEF" w:rsidRDefault="00757E3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TAK</w:t>
            </w:r>
          </w:p>
        </w:tc>
      </w:tr>
    </w:tbl>
    <w:p w14:paraId="15A17125" w14:textId="77777777" w:rsidR="00487CEF" w:rsidRDefault="00757E3D">
      <w:pPr>
        <w:spacing w:after="128" w:line="358" w:lineRule="auto"/>
        <w:ind w:left="-15" w:right="-15" w:firstLine="709"/>
      </w:pPr>
      <w:r>
        <w:t xml:space="preserve">Z </w:t>
      </w:r>
      <w:r>
        <w:t>powyższych</w:t>
      </w:r>
      <w:r>
        <w:t xml:space="preserve"> danych wynika, </w:t>
      </w:r>
      <w:r>
        <w:t>że</w:t>
      </w:r>
      <w:r>
        <w:t xml:space="preserve"> </w:t>
      </w:r>
      <w:r>
        <w:t>obciążenie</w:t>
      </w:r>
      <w:r>
        <w:t xml:space="preserve"> </w:t>
      </w:r>
      <w:r>
        <w:t>budżetu</w:t>
      </w:r>
      <w:r>
        <w:t xml:space="preserve"> z </w:t>
      </w:r>
      <w:r>
        <w:t>tytułu</w:t>
      </w:r>
      <w:r>
        <w:t xml:space="preserve"> </w:t>
      </w:r>
      <w:r>
        <w:t>zaciągniętych</w:t>
      </w:r>
      <w:r>
        <w:t xml:space="preserve"> i planowanych do </w:t>
      </w:r>
      <w:r>
        <w:t>zaciągnięcia</w:t>
      </w:r>
      <w:r>
        <w:t xml:space="preserve"> </w:t>
      </w:r>
      <w:r>
        <w:t>zobowiązań</w:t>
      </w:r>
      <w:r>
        <w:t xml:space="preserve"> w latach </w:t>
      </w:r>
      <w:r>
        <w:t>objętych</w:t>
      </w:r>
      <w:r>
        <w:t xml:space="preserve"> </w:t>
      </w:r>
      <w:r>
        <w:t>wieloletnią</w:t>
      </w:r>
      <w:r>
        <w:t xml:space="preserve"> </w:t>
      </w:r>
      <w:r>
        <w:t>prognozą</w:t>
      </w:r>
      <w:r>
        <w:t xml:space="preserve"> </w:t>
      </w:r>
      <w:r>
        <w:t>finansową</w:t>
      </w:r>
      <w:r>
        <w:t xml:space="preserve"> Gminy Skomlin nie przekracza </w:t>
      </w:r>
      <w:r>
        <w:t>określonego</w:t>
      </w:r>
      <w:r>
        <w:t xml:space="preserve"> w art. 243 ustawy o finansach publicznych dopuszczalnego </w:t>
      </w:r>
      <w:r>
        <w:t>wskaźnika</w:t>
      </w:r>
      <w:r>
        <w:t xml:space="preserve"> </w:t>
      </w:r>
      <w:r>
        <w:t>spłat.</w:t>
      </w:r>
      <w:r>
        <w:t xml:space="preserve"> </w:t>
      </w:r>
      <w:r>
        <w:rPr>
          <w:sz w:val="23"/>
        </w:rPr>
        <w:t>Skład</w:t>
      </w:r>
      <w:r>
        <w:rPr>
          <w:sz w:val="23"/>
        </w:rPr>
        <w:t xml:space="preserve"> </w:t>
      </w:r>
      <w:r>
        <w:rPr>
          <w:sz w:val="23"/>
        </w:rPr>
        <w:t>Orzekający</w:t>
      </w:r>
      <w:r>
        <w:rPr>
          <w:sz w:val="23"/>
        </w:rPr>
        <w:t xml:space="preserve"> zwraca jednak </w:t>
      </w:r>
      <w:r>
        <w:rPr>
          <w:sz w:val="23"/>
        </w:rPr>
        <w:t>uwagę,</w:t>
      </w:r>
      <w:r>
        <w:rPr>
          <w:sz w:val="23"/>
        </w:rPr>
        <w:t xml:space="preserve"> </w:t>
      </w:r>
      <w:r>
        <w:rPr>
          <w:sz w:val="23"/>
        </w:rPr>
        <w:t>że</w:t>
      </w:r>
      <w:r>
        <w:rPr>
          <w:sz w:val="23"/>
        </w:rPr>
        <w:t xml:space="preserve"> </w:t>
      </w:r>
      <w:r>
        <w:rPr>
          <w:b/>
          <w:sz w:val="23"/>
        </w:rPr>
        <w:t>prognozowany poziom obciążenia budżetu spłatą dług</w:t>
      </w:r>
      <w:r>
        <w:rPr>
          <w:b/>
          <w:sz w:val="23"/>
        </w:rPr>
        <w:t>u w latach 2020-2022 zbliża się do wskaźnika maksymalnego. Różnica liczona na podstawie wskaźnika maksymalnego spłaty zobowiązań ustalonego w oparciu o plan za trzy kwartały roku poprzedzającego pierwszy rok prognozy wynosi w 2020 roku zaledwie 0,05% a w l</w:t>
      </w:r>
      <w:r>
        <w:rPr>
          <w:b/>
          <w:sz w:val="23"/>
        </w:rPr>
        <w:t xml:space="preserve">atach 2021-2022 odpowiednio 0,09% i 0,50%. </w:t>
      </w:r>
    </w:p>
    <w:p w14:paraId="6D7E49BE" w14:textId="77777777" w:rsidR="00487CEF" w:rsidRDefault="00757E3D">
      <w:pPr>
        <w:spacing w:after="128" w:line="358" w:lineRule="auto"/>
        <w:ind w:left="-5" w:right="-15"/>
      </w:pPr>
      <w:r>
        <w:rPr>
          <w:b/>
          <w:sz w:val="23"/>
        </w:rPr>
        <w:lastRenderedPageBreak/>
        <w:t>W konsekwencji powyższego, ustalona w projekcie wieloletniej prognozy finansowej Gminy, możliwość spłaty długu w tych latach obciążona jest bardzo dużym ryzykiem. Decydujący wpływ na spełnienie przez Gminę Skomli</w:t>
      </w:r>
      <w:r>
        <w:rPr>
          <w:b/>
          <w:sz w:val="23"/>
        </w:rPr>
        <w:t>n w latach 2020-2022 reguły wynikającej z art. 243 ustawy o finansach publicznych będzie miała realizacja wartości wykazanych w wieloletniej prognozie finansowej w tym okresie (dotyczy to w szczególności dochodów i wydatków bieżących).</w:t>
      </w:r>
      <w:r>
        <w:rPr>
          <w:b/>
          <w:color w:val="FF0000"/>
          <w:sz w:val="23"/>
        </w:rPr>
        <w:t xml:space="preserve"> </w:t>
      </w:r>
      <w:r>
        <w:rPr>
          <w:b/>
          <w:sz w:val="23"/>
          <w:u w:val="single" w:color="000000"/>
        </w:rPr>
        <w:t>W przypadku gdy przy</w:t>
      </w:r>
      <w:r>
        <w:rPr>
          <w:b/>
          <w:sz w:val="23"/>
          <w:u w:val="single" w:color="000000"/>
        </w:rPr>
        <w:t>jęte założenia nie zostaną zachowane może dojść</w:t>
      </w:r>
      <w:r>
        <w:rPr>
          <w:b/>
          <w:sz w:val="23"/>
        </w:rPr>
        <w:t xml:space="preserve"> </w:t>
      </w:r>
      <w:r>
        <w:rPr>
          <w:b/>
          <w:sz w:val="23"/>
          <w:u w:val="single" w:color="000000"/>
        </w:rPr>
        <w:t>do przekroczenia dopuszczalnego wskaźnika zadłużenia jednostki i w konsekwencji</w:t>
      </w:r>
      <w:r>
        <w:rPr>
          <w:b/>
          <w:sz w:val="23"/>
        </w:rPr>
        <w:t xml:space="preserve"> </w:t>
      </w:r>
      <w:r>
        <w:rPr>
          <w:b/>
          <w:sz w:val="23"/>
          <w:u w:val="single" w:color="000000"/>
        </w:rPr>
        <w:t>konieczności realizacji postępowania naprawczego.</w:t>
      </w:r>
    </w:p>
    <w:p w14:paraId="20DFEBCC" w14:textId="77777777" w:rsidR="00487CEF" w:rsidRDefault="00757E3D">
      <w:pPr>
        <w:ind w:left="-15" w:firstLine="709"/>
      </w:pPr>
      <w:r>
        <w:t xml:space="preserve">Dokonane </w:t>
      </w:r>
      <w:r>
        <w:t>wyżej</w:t>
      </w:r>
      <w:r>
        <w:t xml:space="preserve"> przez </w:t>
      </w:r>
      <w:r>
        <w:t>Skład</w:t>
      </w:r>
      <w:r>
        <w:t xml:space="preserve"> </w:t>
      </w:r>
      <w:r>
        <w:t>Orzekający</w:t>
      </w:r>
      <w:r>
        <w:t xml:space="preserve"> ustalenia </w:t>
      </w:r>
      <w:r>
        <w:t>pozwoliły</w:t>
      </w:r>
      <w:r>
        <w:t xml:space="preserve"> </w:t>
      </w:r>
      <w:r>
        <w:t>wyrazić</w:t>
      </w:r>
      <w:r>
        <w:t xml:space="preserve"> opinie jak w § 1 i § 2 sentencji niniejszej </w:t>
      </w:r>
      <w:r>
        <w:t>uchwały.</w:t>
      </w:r>
      <w:r>
        <w:t xml:space="preserve"> </w:t>
      </w:r>
    </w:p>
    <w:p w14:paraId="4965A8A2" w14:textId="77777777" w:rsidR="00487CEF" w:rsidRDefault="00757E3D">
      <w:pPr>
        <w:ind w:left="-15" w:firstLine="709"/>
      </w:pPr>
      <w:r>
        <w:t xml:space="preserve">Stosownie do art. 230 ust. 4 oraz art. 246 ust. 3 ustawy o finansach publicznych niniejsza opinia podlega publikacji przez </w:t>
      </w:r>
      <w:r>
        <w:t>jednostkę</w:t>
      </w:r>
      <w:r>
        <w:t xml:space="preserve"> </w:t>
      </w:r>
      <w:r>
        <w:t>samorządu</w:t>
      </w:r>
      <w:r>
        <w:t xml:space="preserve"> terytorialnego w terminie 7 dni od dnia jej otrzymania na </w:t>
      </w:r>
      <w:r>
        <w:t xml:space="preserve">zasadach </w:t>
      </w:r>
      <w:r>
        <w:t>określonych</w:t>
      </w:r>
      <w:r>
        <w:t xml:space="preserve"> w ustawie z dnia 6 </w:t>
      </w:r>
      <w:r>
        <w:t>września</w:t>
      </w:r>
      <w:r>
        <w:t xml:space="preserve"> 2001 roku o </w:t>
      </w:r>
      <w:r>
        <w:t>dostępie</w:t>
      </w:r>
      <w:r>
        <w:t xml:space="preserve"> do informacji publicznej (tekst jednolity z 2019 roku, poz. 1429 ze zmianami).</w:t>
      </w:r>
    </w:p>
    <w:p w14:paraId="5C03192E" w14:textId="77777777" w:rsidR="00487CEF" w:rsidRDefault="00757E3D">
      <w:pPr>
        <w:ind w:left="-15" w:right="163" w:firstLine="567"/>
      </w:pPr>
      <w:r>
        <w:t xml:space="preserve">Od niniejszej </w:t>
      </w:r>
      <w:r>
        <w:t>uchwały</w:t>
      </w:r>
      <w:r>
        <w:t xml:space="preserve"> </w:t>
      </w:r>
      <w:r>
        <w:t>służy</w:t>
      </w:r>
      <w:r>
        <w:t xml:space="preserve"> </w:t>
      </w:r>
      <w:r>
        <w:t>odwołanie</w:t>
      </w:r>
      <w:r>
        <w:t xml:space="preserve"> do Kolegium Regionalnej Izby Obrachunkowej w </w:t>
      </w:r>
      <w:r>
        <w:t>Łodzi</w:t>
      </w:r>
      <w:r>
        <w:t xml:space="preserve"> w terminie 14 dni </w:t>
      </w:r>
      <w:r>
        <w:t xml:space="preserve">od dnia </w:t>
      </w:r>
      <w:r>
        <w:t>doręczenia</w:t>
      </w:r>
      <w:r>
        <w:t xml:space="preserve"> </w:t>
      </w:r>
      <w:r>
        <w:t>uchwały.</w:t>
      </w:r>
    </w:p>
    <w:sectPr w:rsidR="00487CEF">
      <w:headerReference w:type="even" r:id="rId7"/>
      <w:headerReference w:type="default" r:id="rId8"/>
      <w:headerReference w:type="first" r:id="rId9"/>
      <w:pgSz w:w="11906" w:h="16838"/>
      <w:pgMar w:top="1476" w:right="1134" w:bottom="153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2FFC8" w14:textId="77777777" w:rsidR="00757E3D" w:rsidRDefault="00757E3D">
      <w:pPr>
        <w:spacing w:after="0" w:line="240" w:lineRule="auto"/>
      </w:pPr>
      <w:r>
        <w:separator/>
      </w:r>
    </w:p>
  </w:endnote>
  <w:endnote w:type="continuationSeparator" w:id="0">
    <w:p w14:paraId="4A14A232" w14:textId="77777777" w:rsidR="00757E3D" w:rsidRDefault="0075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A952" w14:textId="77777777" w:rsidR="00757E3D" w:rsidRDefault="00757E3D">
      <w:pPr>
        <w:spacing w:after="0" w:line="240" w:lineRule="auto"/>
      </w:pPr>
      <w:r>
        <w:separator/>
      </w:r>
    </w:p>
  </w:footnote>
  <w:footnote w:type="continuationSeparator" w:id="0">
    <w:p w14:paraId="1BDFCF4D" w14:textId="77777777" w:rsidR="00757E3D" w:rsidRDefault="0075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7527" w14:textId="77777777" w:rsidR="00487CEF" w:rsidRDefault="00757E3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2</w:t>
    </w:r>
    <w:r>
      <w:rPr>
        <w:rFonts w:ascii="Arial" w:eastAsia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E6A3" w14:textId="77777777" w:rsidR="00487CEF" w:rsidRDefault="00757E3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2</w:t>
    </w:r>
    <w:r>
      <w:rPr>
        <w:rFonts w:ascii="Arial" w:eastAsia="Arial" w:hAnsi="Arial" w:cs="Arial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4688" w14:textId="77777777" w:rsidR="00487CEF" w:rsidRDefault="00487CE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31D88"/>
    <w:multiLevelType w:val="hybridMultilevel"/>
    <w:tmpl w:val="43EC1F2E"/>
    <w:lvl w:ilvl="0" w:tplc="6EE235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69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EC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21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4C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267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C7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25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27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D07A56"/>
    <w:multiLevelType w:val="hybridMultilevel"/>
    <w:tmpl w:val="EAF4249C"/>
    <w:lvl w:ilvl="0" w:tplc="CB2CF8E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A631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ECF38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C0218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2DA2E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82B92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6CE02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CC65C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88354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015F9F"/>
    <w:multiLevelType w:val="hybridMultilevel"/>
    <w:tmpl w:val="28DE130C"/>
    <w:lvl w:ilvl="0" w:tplc="FC9CB30E">
      <w:start w:val="9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722D96">
      <w:start w:val="1"/>
      <w:numFmt w:val="lowerLetter"/>
      <w:lvlText w:val="%2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4B65C">
      <w:start w:val="1"/>
      <w:numFmt w:val="lowerRoman"/>
      <w:lvlText w:val="%3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444146">
      <w:start w:val="1"/>
      <w:numFmt w:val="decimal"/>
      <w:lvlText w:val="%4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CEC18E">
      <w:start w:val="1"/>
      <w:numFmt w:val="lowerLetter"/>
      <w:lvlText w:val="%5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D6F6EC">
      <w:start w:val="1"/>
      <w:numFmt w:val="lowerRoman"/>
      <w:lvlText w:val="%6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2C810E">
      <w:start w:val="1"/>
      <w:numFmt w:val="decimal"/>
      <w:lvlText w:val="%7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426830">
      <w:start w:val="1"/>
      <w:numFmt w:val="lowerLetter"/>
      <w:lvlText w:val="%8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22510E">
      <w:start w:val="1"/>
      <w:numFmt w:val="lowerRoman"/>
      <w:lvlText w:val="%9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EF"/>
    <w:rsid w:val="00487CEF"/>
    <w:rsid w:val="006757C5"/>
    <w:rsid w:val="007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6156"/>
  <w15:docId w15:val="{805EC880-0095-469E-ABDC-E5C95252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6" w:line="3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>opinia o możliwości sfinansowania deficytu i o prawidłowości planowanej kwoty długu</dc:subject>
  <dc:creator>WIAS</dc:creator>
  <cp:keywords>Gmina Goszczanów,budżet,15.01.2018,pozytywna,pozytywna</cp:keywords>
  <cp:lastModifiedBy>Adam Pokora</cp:lastModifiedBy>
  <cp:revision>2</cp:revision>
  <dcterms:created xsi:type="dcterms:W3CDTF">2020-02-14T13:57:00Z</dcterms:created>
  <dcterms:modified xsi:type="dcterms:W3CDTF">2020-02-14T13:57:00Z</dcterms:modified>
</cp:coreProperties>
</file>