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13 sierpnia 2021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4811395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Uchwała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Nr  IV /192 / 2021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adu Orzekaj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cego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odzi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dnia 12 sierpnia 2021 roku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w sprawie opinii dotycz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cej informacji o przebiegu wykonania bud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etu Gminy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Skomlin za I pó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rocze 2021 roku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both"/>
        <w:ind w:left="20" w:right="80" w:firstLine="706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 na podstawie art. 13 pkt 4 w zwi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zku z art. 19 ust. 2 ustawy z dnia 7 pa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dziernika 1992 roku o regionalnych izbach obrachunkowych (tekst jednolity Dz. U. z 2020 r., poz. 2137),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color w:val="auto"/>
        </w:rPr>
        <w:t>odzi: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1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Pawe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 xml:space="preserve"> Dobrzy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ń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ski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- przewodnicz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cy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78"/>
              </w:rPr>
              <w:t>2.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yna Kos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 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onek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 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onek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uchwala, co nast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puje: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right="80"/>
        <w:spacing w:after="0" w:line="40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opiniuje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Gminy Skomlin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 2021 roku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Uzasadnienie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Przedmiotem badania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stanowiącym podstawę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wydania niniejszej opinii jest </w:t>
      </w:r>
      <w:r>
        <w:rPr>
          <w:rFonts w:ascii="Tahoma" w:cs="Tahoma" w:eastAsia="Tahoma" w:hAnsi="Tahoma"/>
          <w:sz w:val="24"/>
          <w:szCs w:val="24"/>
          <w:color w:val="auto"/>
        </w:rPr>
        <w:t>przedłożona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Wójta Gminy Skomlin informacja o przebiegu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za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półrocze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 roku wraz z informacj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kszta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towaniu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wieloletniej prognozy finansowej w tym o przebiegu realizacji przedsi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wzi</w:t>
      </w:r>
      <w:r>
        <w:rPr>
          <w:rFonts w:ascii="Tahoma" w:cs="Tahoma" w:eastAsia="Tahoma" w:hAnsi="Tahoma"/>
          <w:sz w:val="24"/>
          <w:szCs w:val="24"/>
          <w:color w:val="auto"/>
        </w:rPr>
        <w:t>ęć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informacja o przebiegu wykonania planów finansowych instytucji kultury.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Wyrażając opinię dotyczącą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oceny przebiegu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półrocze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 roku,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 zapoznał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budżetem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 zmianach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według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stanu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2021 roku, uchwa</w:t>
      </w:r>
      <w:r>
        <w:rPr>
          <w:rFonts w:ascii="Tahoma" w:cs="Tahoma" w:eastAsia="Tahoma" w:hAnsi="Tahoma"/>
          <w:sz w:val="24"/>
          <w:szCs w:val="24"/>
          <w:color w:val="auto"/>
        </w:rPr>
        <w:t>łą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sprawie wieloletniej prognozy finansowej i jej zmianami oraz sprawozdaniami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budżetowymi dotyczącymi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badanego okresu.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powyższych materiałów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ustalono, co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następuje: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left="440" w:hanging="283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1. Badana informacja 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ona w terminie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określonym obowiązującymi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przepisami prawa i co do zasady, odpowiada zakresowi i formie ustalonej przez organ stanowi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w uchwale dotycz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cej informacji o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rocze.</w:t>
      </w:r>
    </w:p>
    <w:p>
      <w:pPr>
        <w:sectPr>
          <w:pgSz w:w="11900" w:h="16838" w:orient="portrait"/>
          <w:cols w:equalWidth="0" w:num="1">
            <w:col w:w="9420"/>
          </w:cols>
          <w:pgMar w:left="1240" w:top="306" w:right="1246" w:bottom="359" w:gutter="0" w:footer="0" w:header="0"/>
        </w:sectPr>
      </w:pPr>
    </w:p>
    <w:bookmarkStart w:id="1" w:name="page2"/>
    <w:bookmarkEnd w:id="1"/>
    <w:p>
      <w:pPr>
        <w:ind w:left="91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both"/>
        <w:ind w:left="291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Analiza porównawcza danych zawartych w informacji o przebiegu wykonania </w:t>
      </w:r>
      <w:r>
        <w:rPr>
          <w:rFonts w:ascii="Tahoma" w:cs="Tahoma" w:eastAsia="Tahoma" w:hAnsi="Tahoma"/>
          <w:sz w:val="24"/>
          <w:szCs w:val="24"/>
          <w:color w:val="auto"/>
        </w:rPr>
        <w:t>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kwotami planowanymi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2021 rok oraz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wielkościami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wykazanymi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półrocze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 roku </w:t>
      </w:r>
      <w:r>
        <w:rPr>
          <w:rFonts w:ascii="Tahoma" w:cs="Tahoma" w:eastAsia="Tahoma" w:hAnsi="Tahoma"/>
          <w:sz w:val="24"/>
          <w:szCs w:val="24"/>
          <w:color w:val="auto"/>
        </w:rPr>
        <w:t>wykazała zgodność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kwot planowanych i wykonanych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Wójta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dokumentach.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91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Realizacja planowanych dochodów i wydatków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2021 roku </w:t>
      </w:r>
      <w:r>
        <w:rPr>
          <w:rFonts w:ascii="Tahoma" w:cs="Tahoma" w:eastAsia="Tahoma" w:hAnsi="Tahoma"/>
          <w:sz w:val="24"/>
          <w:szCs w:val="24"/>
          <w:color w:val="auto"/>
        </w:rPr>
        <w:t>przedstawiała się następująco: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71" w:hanging="287"/>
        <w:spacing w:after="0" w:line="359" w:lineRule="auto"/>
        <w:tabs>
          <w:tab w:leader="none" w:pos="571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dochody wykonano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11.037.148,99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tj. 50,71% planu, z tego 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majątkowe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2.189.706,00 (60,26% planu),</w:t>
      </w:r>
    </w:p>
    <w:p>
      <w:pPr>
        <w:spacing w:after="0" w:line="2" w:lineRule="exact"/>
        <w:rPr>
          <w:rFonts w:ascii="Tahoma" w:cs="Tahoma" w:eastAsia="Tahoma" w:hAnsi="Tahoma"/>
          <w:sz w:val="24"/>
          <w:szCs w:val="24"/>
          <w:color w:val="auto"/>
        </w:rPr>
      </w:pPr>
    </w:p>
    <w:p>
      <w:pPr>
        <w:ind w:left="571" w:hanging="287"/>
        <w:spacing w:after="0" w:line="359" w:lineRule="auto"/>
        <w:tabs>
          <w:tab w:leader="none" w:pos="571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wydatki wykonano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11.140.626,58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tj. 46,21% planu, z tego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majątkowe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2.713.792,59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(44,69% planu).</w:t>
      </w:r>
    </w:p>
    <w:p>
      <w:pPr>
        <w:spacing w:after="0" w:line="2" w:lineRule="exact"/>
        <w:rPr>
          <w:rFonts w:ascii="Tahoma" w:cs="Tahoma" w:eastAsia="Tahoma" w:hAnsi="Tahoma"/>
          <w:sz w:val="24"/>
          <w:szCs w:val="24"/>
          <w:color w:val="auto"/>
        </w:rPr>
      </w:pPr>
    </w:p>
    <w:p>
      <w:pPr>
        <w:jc w:val="both"/>
        <w:ind w:left="571" w:hanging="288"/>
        <w:spacing w:after="0" w:line="372" w:lineRule="auto"/>
        <w:tabs>
          <w:tab w:leader="none" w:pos="571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wykonane 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 wyniosły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8.847.442,99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(48,79% planu), wydatki </w:t>
      </w:r>
      <w:r>
        <w:rPr>
          <w:rFonts w:ascii="Tahoma" w:cs="Tahoma" w:eastAsia="Tahoma" w:hAnsi="Tahoma"/>
          <w:sz w:val="24"/>
          <w:szCs w:val="24"/>
          <w:color w:val="auto"/>
        </w:rPr>
        <w:t>bieżące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wykonano natomiast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8.426.833,99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(46,72% planu),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co oznacza,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2021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nadwyżka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operacyjna </w:t>
      </w:r>
      <w:r>
        <w:rPr>
          <w:rFonts w:ascii="Tahoma" w:cs="Tahoma" w:eastAsia="Tahoma" w:hAnsi="Tahoma"/>
          <w:sz w:val="24"/>
          <w:szCs w:val="24"/>
          <w:color w:val="auto"/>
        </w:rPr>
        <w:t>ukształtowała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poziomie 420.589,00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 Spełnione zostały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zatem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postanowienia, o których mowa w art. 242 ustawy o finansach publicznych.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91" w:right="60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okresie poddanym analizie nie stwierdzono przekroczenia planowanych wydatków oraz powstania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wymagalnych.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91" w:hanging="291"/>
        <w:spacing w:after="0" w:line="359" w:lineRule="auto"/>
        <w:tabs>
          <w:tab w:leader="none" w:pos="291" w:val="left"/>
        </w:tabs>
        <w:numPr>
          <w:ilvl w:val="0"/>
          <w:numId w:val="2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Dane zawarte w informacji o kszta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towaniu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wieloletniej prognozy finansowej w tym o przebiegu realizacji przedsi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wzi</w:t>
      </w:r>
      <w:r>
        <w:rPr>
          <w:rFonts w:ascii="Tahoma" w:cs="Tahoma" w:eastAsia="Tahoma" w:hAnsi="Tahoma"/>
          <w:sz w:val="24"/>
          <w:szCs w:val="24"/>
          <w:color w:val="auto"/>
        </w:rPr>
        <w:t>ęć</w:t>
      </w:r>
      <w:r>
        <w:rPr>
          <w:rFonts w:ascii="Tahoma" w:cs="Tahoma" w:eastAsia="Tahoma" w:hAnsi="Tahoma"/>
          <w:sz w:val="24"/>
          <w:szCs w:val="24"/>
          <w:color w:val="auto"/>
        </w:rPr>
        <w:t>, dotycz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ce 2021 roku, koreluj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danymi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91"/>
        <w:spacing w:after="0" w:line="36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zawartymi w informacji o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 2021 roku. Dane dotycz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ce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enia Gminy s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zgodne z danymi wykazanymi w kwartalnym sprawozdaniu Rb-Z o stanie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ów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nych oraz por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cze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gwarancji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wg stanu na dzie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2021 roku. Wielko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ugoterminowych na koniec badanego okresu wynios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8.237.002,99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.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tego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enia w roku 2021 i w dalszych latach wieloletniej prognozy finansowej spe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nia wymogi art. 243 ustawy o finansach publicznych. Niezale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nie od powy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szego, maj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 na uwadze zmiany wprowadzone w ustawie o finansach publicznych ustaw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dnia 14 grudnia 2018 roku o zmianie ustawy o finansach publicznych oraz niektórych innych ustaw (Dz. U. z 2018 roku, poz. 2500) - w szczególno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 zakresie ustalania w kolejnych latach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etowych dopuszczalnego poziomu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</w:t>
      </w:r>
    </w:p>
    <w:p>
      <w:pPr>
        <w:sectPr>
          <w:pgSz w:w="11900" w:h="16838" w:orient="portrait"/>
          <w:cols w:equalWidth="0" w:num="1">
            <w:col w:w="9271"/>
          </w:cols>
          <w:pgMar w:left="1389" w:top="690" w:right="1246" w:bottom="327" w:gutter="0" w:footer="0" w:header="0"/>
        </w:sectPr>
      </w:pPr>
    </w:p>
    <w:bookmarkStart w:id="2" w:name="page3"/>
    <w:bookmarkEnd w:id="2"/>
    <w:p>
      <w:pPr>
        <w:ind w:left="91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91" w:right="60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terytorialnego, jak 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aktualn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sytuacj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gospodarczo-ekonomiczn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-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>e indywidualnej ocenie i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cej analizie winna podlega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zdolno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jednostki do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i planowanych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cia. Zasadne jest, aby 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by finansowe Gminy na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co analizowa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sytuacj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jednostki, w tym zdolno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gania i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nowych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>, w aspekcie wykonanych i prognozowanych wielko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ywaj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na ustalenie w kolejnych latach relacji okre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lonej w art. 243 ustawy o finansach publicznych.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left="291" w:right="60" w:hanging="291"/>
        <w:spacing w:after="0" w:line="368" w:lineRule="auto"/>
        <w:tabs>
          <w:tab w:leader="none" w:pos="291" w:val="left"/>
        </w:tabs>
        <w:numPr>
          <w:ilvl w:val="0"/>
          <w:numId w:val="3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 informacji o realizacji planów finansowych instytucji kultury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>e na koniec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rocza 2021 roku w Gminnej Bibliotece Publicznej oraz w Gminnym 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rodku Kultury i Sportu w Skomlinie nie wyst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pi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nale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wymagalne ani te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zania wymagalne. Z informacji o wykonaniu planu Samodzielnego Publicznego Zak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adu Podstawowej Opieki Zdrowotnej w Skomlinie w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roczu 2021 roku wynika, i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wymagalnych oraz nale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wymagalnych nie odnotowano na koniec okresu sprawozdawczego tak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w tej jednostce.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2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Planowana  i  wykonana</w:t>
            </w:r>
          </w:p>
        </w:tc>
        <w:tc>
          <w:tcPr>
            <w:tcW w:w="63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kwota  dotacji,  otrzymana  z  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etu  Gminy,  wykazana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</w:t>
            </w:r>
          </w:p>
        </w:tc>
        <w:tc>
          <w:tcPr>
            <w:tcW w:w="1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informacji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  realizacji</w:t>
            </w:r>
          </w:p>
        </w:tc>
        <w:tc>
          <w:tcPr>
            <w:tcW w:w="3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planów  finansowych  instytucji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kultury  jest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zgodna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</w:t>
            </w: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wielko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ś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ciami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uj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ę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tymi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informacji  o  przebiegu  wykonania  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etu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Gminy</w:t>
            </w:r>
          </w:p>
        </w:tc>
      </w:tr>
      <w:tr>
        <w:trPr>
          <w:trHeight w:val="435"/>
        </w:trPr>
        <w:tc>
          <w:tcPr>
            <w:tcW w:w="6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oraz w sprawozdaniu Rb-28S z wykonania planu wydatków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etowych jednostki</w:t>
            </w:r>
          </w:p>
        </w:tc>
      </w:tr>
    </w:tbl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29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za okres od pocz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tku roku do dnia 30 czerwca roku 2021.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91" w:firstLine="282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Uwzględniając powyższe,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przedłożoną informację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sprawozdania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budżetowe, Skład Orzekający postanowił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jak w sentencji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91" w:firstLine="282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Niniejsza opinia oparta jest wy</w:t>
      </w:r>
      <w:r>
        <w:rPr>
          <w:rFonts w:ascii="Tahoma" w:cs="Tahoma" w:eastAsia="Tahoma" w:hAnsi="Tahoma"/>
          <w:sz w:val="24"/>
          <w:szCs w:val="24"/>
          <w:color w:val="auto"/>
        </w:rPr>
        <w:t>łą</w:t>
      </w:r>
      <w:r>
        <w:rPr>
          <w:rFonts w:ascii="Tahoma" w:cs="Tahoma" w:eastAsia="Tahoma" w:hAnsi="Tahoma"/>
          <w:sz w:val="24"/>
          <w:szCs w:val="24"/>
          <w:color w:val="auto"/>
        </w:rPr>
        <w:t>cznie na wynikach analizy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onych dokumentów i dotyczy jedynie formalno - prawnych aspektów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etu. Nie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by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zatem uwa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ana za równoznaczn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wszechstronn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ocen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prawid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owo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 2021 roku.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291" w:right="60" w:firstLine="282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wyrażonej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niniejszej uchwale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terminie 14 dni od 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doręczenia uchwały.</w:t>
      </w:r>
    </w:p>
    <w:sectPr>
      <w:pgSz w:w="11900" w:h="16838" w:orient="portrait"/>
      <w:cols w:equalWidth="0" w:num="1">
        <w:col w:w="9331"/>
      </w:cols>
      <w:pgMar w:left="1389" w:top="690" w:right="11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2021-09-02T10:35:26Z</dcterms:created>
  <dcterms:modified xsi:type="dcterms:W3CDTF">2021-09-02T10:35:26Z</dcterms:modified>
</cp:coreProperties>
</file>