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Elektronicznie podpisany przez: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Paweł Dobrzyński; RIO w Łodzi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dnia 16 maja 2022 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4874895</wp:posOffset>
            </wp:positionH>
            <wp:positionV relativeFrom="paragraph">
              <wp:posOffset>635</wp:posOffset>
            </wp:positionV>
            <wp:extent cx="691515" cy="2330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 c h w a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a Nr IV / 102 / 2022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Składu Orzekającego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Łodzi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z dnia 12 maja 2022 roku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sprawie opinii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odnośnie możliwości spłaty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250.000,00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spacing w:after="0" w:line="38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Po rozpatrzeniu dokumentów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Skomlin w sprawie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możliwości spłaty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w kwocie 250.000,00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zł, zaciąganego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pokrycie planowanego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Skomlin,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Skład Orzekający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Łodzi: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Paweł Dobrzyński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9"/>
              </w:rPr>
              <w:t>przewodniczący</w:t>
            </w:r>
          </w:p>
        </w:tc>
      </w:tr>
      <w:tr>
        <w:trPr>
          <w:trHeight w:val="435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2.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Zofia Dolewka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członek</w:t>
            </w:r>
          </w:p>
        </w:tc>
      </w:tr>
      <w:tr>
        <w:trPr>
          <w:trHeight w:val="435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3.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Bogusław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 xml:space="preserve"> Wenus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członek</w:t>
            </w:r>
          </w:p>
        </w:tc>
      </w:tr>
    </w:tbl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both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działając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podstawie art. 91 ust. 2 ustawy z dnia 27 sierpnia 2009 roku o finansach publicznych (tekst jednolity Dz.U. z 2021 roku, poz. 305 ze zmianami) oraz art. 13 pkt 1 ustawy z dnia 7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października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1992 roku o regionalnych izbach obrachunkowych (tekst jednolity Dz. U. z 2019 r., poz. 2137 ze zmianami)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p o s t a n o w i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spacing w:after="0" w:line="413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wydać opinię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pozytywną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przedmiocie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możliwości spłaty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w kwocie 250.000,00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,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z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uwagą zawartą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w uzasadnieniu</w:t>
      </w:r>
      <w:r>
        <w:rPr>
          <w:rFonts w:ascii="Tahoma" w:cs="Tahoma" w:eastAsia="Tahoma" w:hAnsi="Tahoma"/>
          <w:sz w:val="24"/>
          <w:szCs w:val="24"/>
          <w:color w:val="auto"/>
        </w:rPr>
        <w:t>.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 z a s a d n i e n i 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jc w:val="both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dniu 12 kwietnia 2022 roku do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 wpłynął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wniosek Wójta Gminy Skomlin o wydanie opinii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dotyczącej możliwości spłaty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w kwocie 250.000,00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>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zaciąganego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pokrycie planowanego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Skład Orzekający wydał przedmiotową opinię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oparciu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następujące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dokumenty: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720" w:hanging="12"/>
        <w:spacing w:after="0" w:line="408" w:lineRule="auto"/>
        <w:rPr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uchwałę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nr XXXII/190/2021 Rady Gminy Skomlin z dnia 28 grudnia 2021 roku w sprawie uchwalenia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2022 rok wraz z jej zmianami,</w:t>
      </w:r>
    </w:p>
    <w:p>
      <w:pPr>
        <w:sectPr>
          <w:pgSz w:w="11900" w:h="16834" w:orient="portrait"/>
          <w:cols w:equalWidth="0" w:num="1">
            <w:col w:w="9640"/>
          </w:cols>
          <w:pgMar w:left="1140" w:top="302" w:right="1129" w:bottom="1101" w:gutter="0" w:footer="0" w:header="0"/>
        </w:sectPr>
      </w:pPr>
    </w:p>
    <w:bookmarkStart w:id="1" w:name="page2"/>
    <w:bookmarkEnd w:id="1"/>
    <w:p>
      <w:pPr>
        <w:ind w:left="720" w:hanging="12"/>
        <w:spacing w:after="0" w:line="360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uchwałę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nr XXXII/189/2021 Rady Gminy Skomlin z dnia 28 grudnia 2021 roku w sprawie uchwalenia Wieloletniej Prognozy Finansowej Gminy Skomlin na lata 2022-2032 wraz z jej zmianami,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hanging="12"/>
        <w:spacing w:after="0" w:line="360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uchwałę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nr XXXV/204/2022 Rady Gminy Skomlin z dnia 29 marca 2022 roku w sprawie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zaciągnięcia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na finansowanie planowanego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hanging="12"/>
        <w:spacing w:after="0" w:line="360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wniosek z dnia 12.04.2022 r. o wydanie opinii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możliwości spłaty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w kwocie 250.000,00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hanging="12"/>
        <w:spacing w:after="0" w:line="360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informację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pozostałych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spłaty zobowiązaniach długoterminowych wynikających </w:t>
      </w:r>
      <w:r>
        <w:rPr>
          <w:rFonts w:ascii="Tahoma" w:cs="Tahoma" w:eastAsia="Tahoma" w:hAnsi="Tahoma"/>
          <w:sz w:val="24"/>
          <w:szCs w:val="24"/>
          <w:color w:val="auto"/>
        </w:rPr>
        <w:t>z zawartych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przeszłości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umów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 w:right="3160"/>
        <w:spacing w:after="0" w:line="40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terminarz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spłaty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wg propozycji kredytobiorcy, </w:t>
      </w:r>
      <w:r>
        <w:rPr>
          <w:rFonts w:ascii="Tahoma" w:cs="Tahoma" w:eastAsia="Tahoma" w:hAnsi="Tahoma"/>
          <w:sz w:val="24"/>
          <w:szCs w:val="24"/>
          <w:color w:val="auto"/>
        </w:rPr>
        <w:t>wskaźniki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relacje poziomu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zadłużenia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Skład Orzekający ustalił,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co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następuje: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61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dniu 29 marca 2022 roku Rada Gminy Skomlin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podjęła uchwałę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nr XXXV/204/2022 w sprawie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zaciągnięcia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na finansowanie planowanego deficytu </w:t>
      </w:r>
      <w:r>
        <w:rPr>
          <w:rFonts w:ascii="Tahoma" w:cs="Tahoma" w:eastAsia="Tahoma" w:hAnsi="Tahoma"/>
          <w:sz w:val="24"/>
          <w:szCs w:val="24"/>
          <w:color w:val="auto"/>
        </w:rPr>
        <w:t>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Skomlin.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treści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§1 ww.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wynika,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postanowiła zaciągnąć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2022 roku kredyt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250.000,00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z. Stosownie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postanowień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§2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 zaciągany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 przeznaczony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będzie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finansowanie planowanego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na 2022r. Jak wynika natomiast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postanowień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§3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jednostka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zaplanowała spłatę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w latach 2029 - 2031.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5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ecie Gminy Skomlin na 2022 rok planowane dochody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kszta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tuj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poziomie 17.136.443,40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, a wydatki w wysoko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18.673.622,95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. Zaplanowany deficyt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wynosi 1.537.179,55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zostanie pokryty przychodami z tytu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 kredytu (250.000,00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), nadwy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ki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etowej z lat ubieg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ych (956.319,37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) oraz z wolnych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ś</w:t>
      </w:r>
      <w:r>
        <w:rPr>
          <w:rFonts w:ascii="Tahoma" w:cs="Tahoma" w:eastAsia="Tahoma" w:hAnsi="Tahoma"/>
          <w:sz w:val="24"/>
          <w:szCs w:val="24"/>
          <w:color w:val="auto"/>
        </w:rPr>
        <w:t>rodków (330.860,18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). Przychody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zaplanowano w kwocie 2.038.379,55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, a rozchody w wysoko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501.200,00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. Opiniowany kredyt mie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ustalonym (zgodnie z art. 212 ust. 1 pkt 6 ustawy o finansach publicznych) w §8 pkt 2 uchwa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 nr XXXII/190/2021 Rady Gminy Skomlin z dnia 28 grudnia 2021 roku w sprawie uchwalenia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na 2022 rok - limicie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tytu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 planowanych do zaci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cia kredytów i po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yczek oraz emitowanych papierów warto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ciowych na finansowanie deficytu.</w:t>
      </w:r>
    </w:p>
    <w:p>
      <w:pPr>
        <w:sectPr>
          <w:pgSz w:w="11900" w:h="16834" w:orient="portrait"/>
          <w:cols w:equalWidth="0" w:num="1">
            <w:col w:w="9640"/>
          </w:cols>
          <w:pgMar w:left="1140" w:top="1127" w:right="1129" w:bottom="39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9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11900" w:h="16834" w:orient="portrait"/>
          <w:cols w:equalWidth="0" w:num="1">
            <w:col w:w="9640"/>
          </w:cols>
          <w:pgMar w:left="1140" w:top="1127" w:right="1129" w:bottom="394" w:gutter="0" w:footer="0" w:header="0"/>
          <w:type w:val="continuous"/>
        </w:sectPr>
      </w:pPr>
    </w:p>
    <w:bookmarkStart w:id="2" w:name="page3"/>
    <w:bookmarkEnd w:id="2"/>
    <w:p>
      <w:pPr>
        <w:jc w:val="both"/>
        <w:ind w:right="20"/>
        <w:spacing w:after="0" w:line="377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ś</w:t>
      </w:r>
      <w:r>
        <w:rPr>
          <w:rFonts w:ascii="Tahoma" w:cs="Tahoma" w:eastAsia="Tahoma" w:hAnsi="Tahoma"/>
          <w:sz w:val="24"/>
          <w:szCs w:val="24"/>
          <w:color w:val="auto"/>
        </w:rPr>
        <w:t>wietle 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zuj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cych przepisów prawa mo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liwo</w:t>
      </w:r>
      <w:r>
        <w:rPr>
          <w:rFonts w:ascii="Tahoma" w:cs="Tahoma" w:eastAsia="Tahoma" w:hAnsi="Tahoma"/>
          <w:sz w:val="24"/>
          <w:szCs w:val="24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ania 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danej jednostki samorz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du terytorialnego wyznacza regu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 wynikaj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ca z art. 243 ustawy z dnia 27 sierpnia 2009 roku o finansach publicznych.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53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Na podstawie przed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onych materia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ów oraz danych wynikaj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cych z wieloletniej prognozy finansowej Gminy Skomlin stwierdzono,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</w:t>
      </w:r>
      <w:r>
        <w:rPr>
          <w:rFonts w:ascii="Tahoma" w:cs="Tahoma" w:eastAsia="Tahoma" w:hAnsi="Tahoma"/>
          <w:sz w:val="24"/>
          <w:szCs w:val="24"/>
          <w:color w:val="auto"/>
        </w:rPr>
        <w:t>e obci</w:t>
      </w:r>
      <w:r>
        <w:rPr>
          <w:rFonts w:ascii="Tahoma" w:cs="Tahoma" w:eastAsia="Tahoma" w:hAnsi="Tahoma"/>
          <w:sz w:val="24"/>
          <w:szCs w:val="24"/>
          <w:color w:val="auto"/>
        </w:rPr>
        <w:t>ąż</w:t>
      </w:r>
      <w:r>
        <w:rPr>
          <w:rFonts w:ascii="Tahoma" w:cs="Tahoma" w:eastAsia="Tahoma" w:hAnsi="Tahoma"/>
          <w:sz w:val="24"/>
          <w:szCs w:val="24"/>
          <w:color w:val="auto"/>
        </w:rPr>
        <w:t>enie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Gminy w latach, na które przypada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ata zaci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ganego kredytu (2029-2031), jak równie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pozosta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ych latach obj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tych wieloletni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prognoz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finansow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Gminy, nie przekracza okre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lonego w art. 243 ustawy o finansach publicznych wska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nika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at. W latach obj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tych wieloletni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prognoz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finansow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zachowana równie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zostanie zasada okre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lona w art. 242 ustawy o finansach publicznych, poniewa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latach tych zaprognozowano osi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cie nadwy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ek operacyjnych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(dochody bie</w:t>
      </w:r>
      <w:r>
        <w:rPr>
          <w:rFonts w:ascii="Tahoma" w:cs="Tahoma" w:eastAsia="Tahoma" w:hAnsi="Tahoma"/>
          <w:sz w:val="24"/>
          <w:szCs w:val="24"/>
          <w:color w:val="auto"/>
        </w:rPr>
        <w:t>żą</w:t>
      </w:r>
      <w:r>
        <w:rPr>
          <w:rFonts w:ascii="Tahoma" w:cs="Tahoma" w:eastAsia="Tahoma" w:hAnsi="Tahoma"/>
          <w:sz w:val="24"/>
          <w:szCs w:val="24"/>
          <w:color w:val="auto"/>
        </w:rPr>
        <w:t>ce b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d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sze od wydatków bie</w:t>
      </w:r>
      <w:r>
        <w:rPr>
          <w:rFonts w:ascii="Tahoma" w:cs="Tahoma" w:eastAsia="Tahoma" w:hAnsi="Tahoma"/>
          <w:sz w:val="24"/>
          <w:szCs w:val="24"/>
          <w:color w:val="auto"/>
        </w:rPr>
        <w:t>żą</w:t>
      </w:r>
      <w:r>
        <w:rPr>
          <w:rFonts w:ascii="Tahoma" w:cs="Tahoma" w:eastAsia="Tahoma" w:hAnsi="Tahoma"/>
          <w:sz w:val="24"/>
          <w:szCs w:val="24"/>
          <w:color w:val="auto"/>
        </w:rPr>
        <w:t>cych). 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 Orzekaj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 podkre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la,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65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 wykazane w wieloletniej prognozie finansowej wska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niki, ustalone zosta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 przy za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eniu pe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nej realizacji dochodów (w tym dochodów bie</w:t>
      </w:r>
      <w:r>
        <w:rPr>
          <w:rFonts w:ascii="Tahoma" w:cs="Tahoma" w:eastAsia="Tahoma" w:hAnsi="Tahoma"/>
          <w:sz w:val="24"/>
          <w:szCs w:val="24"/>
          <w:color w:val="auto"/>
        </w:rPr>
        <w:t>żą</w:t>
      </w:r>
      <w:r>
        <w:rPr>
          <w:rFonts w:ascii="Tahoma" w:cs="Tahoma" w:eastAsia="Tahoma" w:hAnsi="Tahoma"/>
          <w:sz w:val="24"/>
          <w:szCs w:val="24"/>
          <w:color w:val="auto"/>
        </w:rPr>
        <w:t>cych oraz maj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tkowych), jak równie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utrzymania poziomu wydatków oraz osi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cia zak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adanych nadwy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ek operacyjnych</w:t>
      </w:r>
      <w:r>
        <w:rPr>
          <w:rFonts w:ascii="Tahoma" w:cs="Tahoma" w:eastAsia="Tahoma" w:hAnsi="Tahoma"/>
          <w:sz w:val="24"/>
          <w:szCs w:val="24"/>
          <w:color w:val="auto"/>
        </w:rPr>
        <w:t>. Bior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 pod uwag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dokonane ustalenia, w ocenie 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adu, Gmina Skomlin b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dzie mia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 mo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liwo</w:t>
      </w:r>
      <w:r>
        <w:rPr>
          <w:rFonts w:ascii="Tahoma" w:cs="Tahoma" w:eastAsia="Tahoma" w:hAnsi="Tahoma"/>
          <w:sz w:val="24"/>
          <w:szCs w:val="24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przedmiotowego kredytu.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63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Przy powy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szym 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 Orzekaj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 podkre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la,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e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jednostka winna na bie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żą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co monitorowa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wszystkie czynniki wp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ywaj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ce na sytuacj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finansow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Gminy</w:t>
      </w:r>
      <w:r>
        <w:rPr>
          <w:rFonts w:ascii="Tahoma" w:cs="Tahoma" w:eastAsia="Tahoma" w:hAnsi="Tahoma"/>
          <w:sz w:val="24"/>
          <w:szCs w:val="24"/>
          <w:color w:val="auto"/>
        </w:rPr>
        <w:t>, jak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równie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analizowa</w:t>
      </w:r>
      <w:r>
        <w:rPr>
          <w:rFonts w:ascii="Tahoma" w:cs="Tahoma" w:eastAsia="Tahoma" w:hAnsi="Tahoma"/>
          <w:sz w:val="24"/>
          <w:szCs w:val="24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zdolno</w:t>
      </w:r>
      <w:r>
        <w:rPr>
          <w:rFonts w:ascii="Tahoma" w:cs="Tahoma" w:eastAsia="Tahoma" w:hAnsi="Tahoma"/>
          <w:sz w:val="24"/>
          <w:szCs w:val="24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zaci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gania i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nowych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>, w aspekcie wykonanych i prognozowanych wielko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wp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ywaj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cych na ustalenie w kolejnych latach relacji okre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lonej w art. 243 ustawy o finansach publicznych. W sytuacji wyst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pienia nowych okoliczno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ci, maj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cych wp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yw na realizacj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przyj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tych w wieloletniej prognozie finansowej, niezb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dne mo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 by</w:t>
      </w:r>
      <w:r>
        <w:rPr>
          <w:rFonts w:ascii="Tahoma" w:cs="Tahoma" w:eastAsia="Tahoma" w:hAnsi="Tahoma"/>
          <w:sz w:val="24"/>
          <w:szCs w:val="24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dokonywanie korekt prognozowanych wielko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57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ocenie 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adu Orzekaj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cego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konieczno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dokonywania takiej analizy w kolejnych latach bud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etowych niezb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dna jest tak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e z powodu znacznego przesuni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cia w czasie sp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aty zaci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ganego kredytu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(pierwsza rata kapita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owa zaci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ganego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zania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acona ma zosta</w:t>
      </w:r>
      <w:r>
        <w:rPr>
          <w:rFonts w:ascii="Tahoma" w:cs="Tahoma" w:eastAsia="Tahoma" w:hAnsi="Tahoma"/>
          <w:sz w:val="24"/>
          <w:szCs w:val="24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dopiero w 2029 roku).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Sk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ad Orzekaj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cy zwraca uwag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, i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zaci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cie kredytu, którego sp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ata roz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ona b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dzie na lata 2029-2031, skutkowa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b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dzie istotnym wzrostem obci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ąż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e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bud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etów poszczególnych lat obj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tych prognoz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d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ugu z tytu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 wydatków zwi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zanych z obs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ug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d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ugu</w:t>
      </w:r>
    </w:p>
    <w:p>
      <w:pPr>
        <w:sectPr>
          <w:pgSz w:w="11900" w:h="16834" w:orient="portrait"/>
          <w:cols w:equalWidth="0" w:num="1">
            <w:col w:w="9640"/>
          </w:cols>
          <w:pgMar w:left="1140" w:top="1227" w:right="1129" w:bottom="394" w:gutter="0" w:footer="0" w:header="0"/>
        </w:sectPr>
      </w:pP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ectPr>
          <w:pgSz w:w="11900" w:h="16834" w:orient="portrait"/>
          <w:cols w:equalWidth="0" w:num="1">
            <w:col w:w="9640"/>
          </w:cols>
          <w:pgMar w:left="1140" w:top="1227" w:right="1129" w:bottom="394" w:gutter="0" w:footer="0" w:header="0"/>
          <w:type w:val="continuous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publicznego.</w:t>
      </w: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8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Od niniejszej uchwa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 przys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uguje zgodnie z art. 20 ust. 1 ustawy z dnia 7 pa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dziernika 1992 roku o regionalnych izbach obrachunkowych odwo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anie do Kolegium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</w:t>
      </w:r>
      <w:r>
        <w:rPr>
          <w:rFonts w:ascii="Tahoma" w:cs="Tahoma" w:eastAsia="Tahoma" w:hAnsi="Tahoma"/>
          <w:sz w:val="24"/>
          <w:szCs w:val="24"/>
          <w:color w:val="auto"/>
        </w:rPr>
        <w:t>odzi w terminie 14 dni od dnia dor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czenia uchwa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y.</w:t>
      </w:r>
    </w:p>
    <w:p>
      <w:pPr>
        <w:sectPr>
          <w:pgSz w:w="11900" w:h="16834" w:orient="portrait"/>
          <w:cols w:equalWidth="0" w:num="1">
            <w:col w:w="9640"/>
          </w:cols>
          <w:pgMar w:left="1140" w:top="1221" w:right="1129" w:bottom="39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9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sectPr>
      <w:pgSz w:w="11900" w:h="16834" w:orient="portrait"/>
      <w:cols w:equalWidth="0" w:num="1">
        <w:col w:w="9640"/>
      </w:cols>
      <w:pgMar w:left="1140" w:top="1221" w:right="1129" w:bottom="39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 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2022-05-17T09:40:36Z</dcterms:created>
  <dcterms:modified xsi:type="dcterms:W3CDTF">2022-05-17T09:40:36Z</dcterms:modified>
</cp:coreProperties>
</file>