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651" w:val="left" w:leader="none"/>
        </w:tabs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684022</wp:posOffset>
            </wp:positionH>
            <wp:positionV relativeFrom="paragraph">
              <wp:posOffset>172896</wp:posOffset>
            </wp:positionV>
            <wp:extent cx="935194" cy="10418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94" cy="104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DZIENNIK</w:t>
      </w:r>
      <w:r>
        <w:rPr>
          <w:spacing w:val="-8"/>
        </w:rPr>
        <w:t> </w:t>
      </w:r>
      <w:r>
        <w:rPr/>
        <w:t>URZ</w:t>
        <w:tab/>
        <w:t>DOWY</w:t>
      </w:r>
    </w:p>
    <w:p>
      <w:pPr>
        <w:tabs>
          <w:tab w:pos="5983" w:val="left" w:leader="none"/>
        </w:tabs>
        <w:spacing w:before="89"/>
        <w:ind w:left="1943" w:right="0" w:firstLine="0"/>
        <w:jc w:val="center"/>
        <w:rPr>
          <w:sz w:val="46"/>
        </w:rPr>
      </w:pPr>
      <w:bookmarkStart w:name="Uchwała" w:id="1"/>
      <w:bookmarkEnd w:id="1"/>
      <w:r>
        <w:rPr/>
      </w:r>
      <w:r>
        <w:rPr>
          <w:sz w:val="46"/>
        </w:rPr>
        <w:t>WOJEWÓDZTWA</w:t>
        <w:tab/>
        <w:t>ÓDZKIEGO</w:t>
      </w:r>
    </w:p>
    <w:p>
      <w:pPr>
        <w:pStyle w:val="BodyText"/>
        <w:spacing w:before="6"/>
        <w:jc w:val="left"/>
        <w:rPr>
          <w:sz w:val="26"/>
        </w:rPr>
      </w:pPr>
      <w:r>
        <w:rPr/>
        <w:pict>
          <v:shape style="position:absolute;margin-left:148.820007pt;margin-top:17.710909pt;width:398.3pt;height:.1pt;mso-position-horizontal-relative:page;mso-position-vertical-relative:paragraph;z-index:-15728640;mso-wrap-distance-left:0;mso-wrap-distance-right:0" coordorigin="2976,354" coordsize="7966,0" path="m2976,354l10942,35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60" w:bottom="280" w:left="920" w:right="780"/>
        </w:sectPr>
      </w:pPr>
    </w:p>
    <w:p>
      <w:pPr>
        <w:pStyle w:val="Heading1"/>
      </w:pPr>
      <w:r>
        <w:rPr/>
        <w:t>ódź, dnia 20 czerwca 2023 r.</w:t>
      </w:r>
    </w:p>
    <w:p>
      <w:pPr>
        <w:spacing w:before="245"/>
        <w:ind w:left="4470" w:right="0" w:firstLine="0"/>
        <w:jc w:val="left"/>
        <w:rPr>
          <w:sz w:val="28"/>
        </w:rPr>
      </w:pPr>
      <w:r>
        <w:rPr>
          <w:sz w:val="28"/>
        </w:rPr>
        <w:t>Poz. 5130</w:t>
      </w:r>
    </w:p>
    <w:p>
      <w:pPr>
        <w:pStyle w:val="BodyText"/>
        <w:spacing w:before="0"/>
        <w:jc w:val="lef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jc w:val="left"/>
        <w:rPr>
          <w:sz w:val="15"/>
        </w:rPr>
      </w:pPr>
    </w:p>
    <w:p>
      <w:pPr>
        <w:spacing w:line="348" w:lineRule="auto" w:before="0"/>
        <w:ind w:left="197" w:right="763" w:hanging="40"/>
        <w:jc w:val="left"/>
        <w:rPr>
          <w:rFonts w:ascii="Arial"/>
          <w:sz w:val="12"/>
        </w:rPr>
      </w:pPr>
      <w:r>
        <w:rPr>
          <w:rFonts w:ascii="Arial"/>
          <w:sz w:val="12"/>
        </w:rPr>
        <w:t>Elektronicznie podpisany przez: Aleksandra Brochocka</w:t>
      </w:r>
    </w:p>
    <w:p>
      <w:pPr>
        <w:spacing w:before="0"/>
        <w:ind w:left="197" w:right="0" w:firstLine="0"/>
        <w:jc w:val="left"/>
        <w:rPr>
          <w:rFonts w:ascii="Arial"/>
          <w:sz w:val="12"/>
        </w:rPr>
      </w:pPr>
      <w:r>
        <w:rPr/>
        <w:pict>
          <v:group style="position:absolute;margin-left:432.863129pt;margin-top:6.971192pt;width:54.5pt;height:18.4pt;mso-position-horizontal-relative:page;mso-position-vertical-relative:paragraph;z-index:15729664" coordorigin="8657,139" coordsize="1090,368">
            <v:shape style="position:absolute;left:8657;top:139;width:1090;height:368" coordorigin="8657,139" coordsize="1090,368" path="m9196,139l8657,325,9196,507,9372,449,9276,449,8921,325,9276,201,9380,201,9196,139xm9380,201l9276,201,9643,325,9276,449,9372,449,9747,325,9380,201xe" filled="true" fillcolor="#d3e5e5" stroked="false">
              <v:path arrowok="t"/>
              <v:fill type="solid"/>
            </v:shape>
            <v:shape style="position:absolute;left:9184;top:239;width:344;height:171" type="#_x0000_t75" stroked="false">
              <v:imagedata r:id="rId6" o:title=""/>
            </v:shape>
            <w10:wrap type="none"/>
          </v:group>
        </w:pict>
      </w:r>
      <w:r>
        <w:rPr>
          <w:rFonts w:ascii="Arial"/>
          <w:sz w:val="12"/>
        </w:rPr>
        <w:t>Data: 2023-06-20 15:16:16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760" w:bottom="280" w:left="920" w:right="780"/>
          <w:cols w:num="2" w:equalWidth="0">
            <w:col w:w="6772" w:space="810"/>
            <w:col w:w="2628"/>
          </w:cols>
        </w:sectPr>
      </w:pPr>
    </w:p>
    <w:p>
      <w:pPr>
        <w:pStyle w:val="BodyText"/>
        <w:spacing w:before="0"/>
        <w:jc w:val="left"/>
        <w:rPr>
          <w:rFonts w:ascii="Arial"/>
          <w:sz w:val="20"/>
        </w:rPr>
      </w:pPr>
    </w:p>
    <w:p>
      <w:pPr>
        <w:pStyle w:val="BodyText"/>
        <w:spacing w:before="0"/>
        <w:jc w:val="left"/>
        <w:rPr>
          <w:rFonts w:ascii="Arial"/>
          <w:sz w:val="20"/>
        </w:rPr>
      </w:pPr>
    </w:p>
    <w:p>
      <w:pPr>
        <w:pStyle w:val="BodyText"/>
        <w:spacing w:before="5"/>
        <w:jc w:val="left"/>
        <w:rPr>
          <w:rFonts w:ascii="Arial"/>
          <w:sz w:val="28"/>
        </w:rPr>
      </w:pPr>
    </w:p>
    <w:p>
      <w:pPr>
        <w:pStyle w:val="Heading2"/>
        <w:spacing w:before="91"/>
        <w:ind w:left="3511" w:right="3649"/>
      </w:pPr>
      <w:r>
        <w:rPr/>
        <w:t>UCHWAŁA NR XLIX/297/2023 RADY GMINY SKOMLIN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BodyText"/>
        <w:spacing w:before="0"/>
        <w:ind w:left="1942" w:right="2079"/>
        <w:jc w:val="center"/>
      </w:pPr>
      <w:r>
        <w:rPr/>
        <w:t>z dnia 30 maja 2023 r.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Heading2"/>
        <w:ind w:right="394" w:hanging="3"/>
      </w:pPr>
      <w:r>
        <w:rPr/>
        <w:t>w sprawie określenia wymagań, jakie powinien spełniać przedsiębiorca ubiegający się o uzyskanie zezwolenia na opróżnianie zbiorników bezodpływowych lub osadników w instalacjach przydomowych oczyszczalni ścieków i transportu nieczystości ciekłych na terenie gminy Skomlin</w:t>
      </w:r>
    </w:p>
    <w:p>
      <w:pPr>
        <w:pStyle w:val="BodyText"/>
        <w:spacing w:before="0"/>
        <w:jc w:val="left"/>
        <w:rPr>
          <w:b/>
          <w:sz w:val="24"/>
        </w:rPr>
      </w:pPr>
    </w:p>
    <w:p>
      <w:pPr>
        <w:pStyle w:val="BodyText"/>
        <w:spacing w:before="204"/>
        <w:ind w:left="100" w:right="237" w:firstLine="227"/>
      </w:pPr>
      <w:r>
        <w:rPr/>
        <w:t>Na  podstawie  art. 18 ust. 2 pkt 15 ustawy  z dnia  8 marca  1990 r.  o samorządzie  gminnym  (t.j.  Dz. U.    z 2023 r. poz. 40, 572), art. 7 ust. 3a  ustawy  z dnia  13 września  1996 r.  o utrzymaniu  czystości  i porządku w gminach (t.j. Dz. U. z 2022 r. poz. 2519, 2797, 1549; z 2023 poz. 877) oraz §1 rozporządzenia Ministra Klimatu i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 U. z 2023 r. poz. 322), uchwala się, co</w:t>
      </w:r>
      <w:r>
        <w:rPr>
          <w:spacing w:val="-2"/>
        </w:rPr>
        <w:t> </w:t>
      </w:r>
      <w:r>
        <w:rPr/>
        <w:t>następuje:</w:t>
      </w:r>
    </w:p>
    <w:p>
      <w:pPr>
        <w:pStyle w:val="BodyText"/>
        <w:ind w:left="100" w:right="236" w:firstLine="340"/>
      </w:pPr>
      <w:r>
        <w:rPr>
          <w:b/>
        </w:rPr>
        <w:t>§ 1. </w:t>
      </w:r>
      <w:r>
        <w:rPr/>
        <w:t>Określa się wymagania, jakie powinien spełniać przedsiębiorca ubiegający się o uzyskanie zezwolenia na   prowadzenie   działalności   w zakresie   opróżniania   zbiorników   bezodpływowych   lub   osadników     w instalacjach przydomowych oczyszczalni ścieków i transportu nieczystości</w:t>
      </w:r>
      <w:r>
        <w:rPr>
          <w:spacing w:val="-3"/>
        </w:rPr>
        <w:t> </w:t>
      </w:r>
      <w:r>
        <w:rPr/>
        <w:t>ciekłych.</w:t>
      </w:r>
    </w:p>
    <w:p>
      <w:pPr>
        <w:pStyle w:val="BodyText"/>
        <w:ind w:left="100" w:right="237" w:firstLine="340"/>
      </w:pPr>
      <w:r>
        <w:rPr>
          <w:b/>
        </w:rPr>
        <w:t>§ 2. </w:t>
      </w:r>
      <w:r>
        <w:rPr/>
        <w:t>Przedsiębiorca ubiegający się o uzyskanie zezwolenia na prowadzenie działalności w zakresie opróżniania zbiorników bezodpływowych lub osadników w instalacjach przydomowych oczyszczalni ścieków  i transportu nieczystości ciekłych na terenie gminy Skomlin powinien spełniać następujące</w:t>
      </w:r>
      <w:r>
        <w:rPr>
          <w:spacing w:val="-12"/>
        </w:rPr>
        <w:t> </w:t>
      </w:r>
      <w:r>
        <w:rPr/>
        <w:t>wymagania: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20" w:after="0"/>
        <w:ind w:left="451" w:right="0" w:hanging="239"/>
        <w:jc w:val="both"/>
        <w:rPr>
          <w:sz w:val="22"/>
        </w:rPr>
      </w:pPr>
      <w:r>
        <w:rPr>
          <w:sz w:val="22"/>
        </w:rPr>
        <w:t>w zakresie wyposażenia technicznego pojazdów asenizacyjnych przeznaczonych do świadczenia</w:t>
      </w:r>
      <w:r>
        <w:rPr>
          <w:spacing w:val="-9"/>
          <w:sz w:val="22"/>
        </w:rPr>
        <w:t> </w:t>
      </w:r>
      <w:r>
        <w:rPr>
          <w:sz w:val="22"/>
        </w:rPr>
        <w:t>usług: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7" w:right="237" w:hanging="227"/>
        <w:jc w:val="both"/>
        <w:rPr>
          <w:sz w:val="22"/>
        </w:rPr>
      </w:pPr>
      <w:r>
        <w:rPr>
          <w:sz w:val="22"/>
        </w:rPr>
        <w:t>pojazdy  powinny  spełniać  kryteria   określone   w rozporządzeniu   Ministra   Infrastruktury   z dnia   12 listopada   2002 r.   w sprawie   wymagań   dla    pojazdów    asenizacyjnych    (Dz. U.    z 2002 r.,   Nr 193 poz.</w:t>
      </w:r>
      <w:r>
        <w:rPr>
          <w:spacing w:val="-2"/>
          <w:sz w:val="22"/>
        </w:rPr>
        <w:t> </w:t>
      </w:r>
      <w:r>
        <w:rPr>
          <w:sz w:val="22"/>
        </w:rPr>
        <w:t>1617),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0" w:after="0"/>
        <w:ind w:left="667" w:right="238" w:hanging="227"/>
        <w:jc w:val="both"/>
        <w:rPr>
          <w:sz w:val="22"/>
        </w:rPr>
      </w:pPr>
      <w:r>
        <w:rPr>
          <w:sz w:val="22"/>
        </w:rPr>
        <w:t>pojazdy asenizacyjne powinny posiadać aktualne badania techniczne, potwierdzone wpisem w dowodzie rejestracyjnym pojazdu oraz być oznakowane w sposób czytelny i widoczny poprzez umieszczenie na nich nazwy, adresu i numeru telefonu</w:t>
      </w:r>
      <w:r>
        <w:rPr>
          <w:spacing w:val="-1"/>
          <w:sz w:val="22"/>
        </w:rPr>
        <w:t> </w:t>
      </w:r>
      <w:r>
        <w:rPr>
          <w:sz w:val="22"/>
        </w:rPr>
        <w:t>przedsiębiorcy,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7" w:right="237" w:hanging="227"/>
        <w:jc w:val="both"/>
        <w:rPr>
          <w:sz w:val="22"/>
        </w:rPr>
      </w:pPr>
      <w:r>
        <w:rPr>
          <w:sz w:val="22"/>
        </w:rPr>
        <w:t>pojazdy powinny być wyposażone w środki techniczne umożliwiające uprzątnięcie zanieczyszczeń powstałych podczas opróżniania zbiorników bezodpływowych lub osadników w instalacjach przydomowych oczyszczalni</w:t>
      </w:r>
      <w:r>
        <w:rPr>
          <w:spacing w:val="-1"/>
          <w:sz w:val="22"/>
        </w:rPr>
        <w:t> </w:t>
      </w:r>
      <w:r>
        <w:rPr>
          <w:sz w:val="22"/>
        </w:rPr>
        <w:t>ścieków;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20" w:after="0"/>
        <w:ind w:left="451" w:right="0" w:hanging="239"/>
        <w:jc w:val="both"/>
        <w:rPr>
          <w:sz w:val="22"/>
        </w:rPr>
      </w:pPr>
      <w:r>
        <w:rPr>
          <w:sz w:val="22"/>
        </w:rPr>
        <w:t>w zakresie wyposażenia technicznego bazy</w:t>
      </w:r>
      <w:r>
        <w:rPr>
          <w:spacing w:val="-2"/>
          <w:sz w:val="22"/>
        </w:rPr>
        <w:t> </w:t>
      </w:r>
      <w:r>
        <w:rPr>
          <w:sz w:val="22"/>
        </w:rPr>
        <w:t>transportowej: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6" w:right="0" w:hanging="227"/>
        <w:jc w:val="both"/>
        <w:rPr>
          <w:sz w:val="22"/>
        </w:rPr>
      </w:pPr>
      <w:r>
        <w:rPr>
          <w:sz w:val="22"/>
        </w:rPr>
        <w:t>baza transportowa powinna posiadać zabezpieczenie przed dostępem osób</w:t>
      </w:r>
      <w:r>
        <w:rPr>
          <w:spacing w:val="-3"/>
          <w:sz w:val="22"/>
        </w:rPr>
        <w:t> </w:t>
      </w:r>
      <w:r>
        <w:rPr>
          <w:sz w:val="22"/>
        </w:rPr>
        <w:t>postronnych,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0" w:after="0"/>
        <w:ind w:left="667" w:right="237" w:hanging="227"/>
        <w:jc w:val="both"/>
        <w:rPr>
          <w:sz w:val="22"/>
        </w:rPr>
      </w:pPr>
      <w:r>
        <w:rPr>
          <w:sz w:val="22"/>
        </w:rPr>
        <w:t>baza transportowa powinna posiadać miejsce do mycia i dezynfekcji pojazdów asenizacyjnych wraz ze specjalistycznym  sprzętem  do  mycia  oraz  miejsca  postojowe  lub  garażowe,  dostosowane  do  ilości i wielkości pojazdów oraz pozostałych urządzeń</w:t>
      </w:r>
      <w:r>
        <w:rPr>
          <w:spacing w:val="-2"/>
          <w:sz w:val="22"/>
        </w:rPr>
        <w:t> </w:t>
      </w:r>
      <w:r>
        <w:rPr>
          <w:sz w:val="22"/>
        </w:rPr>
        <w:t>specjalistycznych,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760" w:bottom="280" w:left="920" w:right="780"/>
        </w:sectPr>
      </w:pPr>
    </w:p>
    <w:p>
      <w:pPr>
        <w:tabs>
          <w:tab w:pos="4792" w:val="left" w:leader="none"/>
          <w:tab w:pos="9165" w:val="left" w:leader="none"/>
        </w:tabs>
        <w:spacing w:before="68"/>
        <w:ind w:left="100" w:right="0" w:firstLine="0"/>
        <w:jc w:val="left"/>
        <w:rPr>
          <w:sz w:val="18"/>
        </w:rPr>
      </w:pPr>
      <w:r>
        <w:rPr/>
        <w:pict>
          <v:shape style="position:absolute;margin-left:51.02pt;margin-top:17.802345pt;width:493.3pt;height:.1pt;mso-position-horizontal-relative:page;mso-position-vertical-relative:paragraph;z-index:-15727104;mso-wrap-distance-left:0;mso-wrap-distance-right:0" coordorigin="1020,356" coordsize="9866,0" path="m1020,356l10886,356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18"/>
        </w:rPr>
        <w:t>Dziennik Urz  dowy</w:t>
      </w:r>
      <w:r>
        <w:rPr>
          <w:spacing w:val="-20"/>
          <w:sz w:val="18"/>
        </w:rPr>
        <w:t> </w:t>
      </w:r>
      <w:r>
        <w:rPr>
          <w:sz w:val="18"/>
        </w:rPr>
        <w:t>Województwa  </w:t>
      </w:r>
      <w:r>
        <w:rPr>
          <w:spacing w:val="12"/>
          <w:sz w:val="18"/>
        </w:rPr>
        <w:t> </w:t>
      </w:r>
      <w:r>
        <w:rPr>
          <w:sz w:val="18"/>
        </w:rPr>
        <w:t>ódzkiego</w:t>
        <w:tab/>
        <w:t>– 2 –</w:t>
        <w:tab/>
        <w:t>Poz.</w:t>
      </w:r>
      <w:r>
        <w:rPr>
          <w:spacing w:val="-1"/>
          <w:sz w:val="18"/>
        </w:rPr>
        <w:t> </w:t>
      </w:r>
      <w:r>
        <w:rPr>
          <w:sz w:val="18"/>
        </w:rPr>
        <w:t>5130</w:t>
      </w:r>
    </w:p>
    <w:p>
      <w:pPr>
        <w:pStyle w:val="BodyText"/>
        <w:spacing w:before="0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91" w:after="0"/>
        <w:ind w:left="667" w:right="238" w:hanging="227"/>
        <w:jc w:val="both"/>
        <w:rPr>
          <w:sz w:val="22"/>
        </w:rPr>
      </w:pPr>
      <w:r>
        <w:rPr>
          <w:sz w:val="22"/>
        </w:rPr>
        <w:t>posiadać zaplecze techniczne i wyznaczone miejsce umożliwiające wykonanie drobnych napraw oraz konserwacji pojazdów,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0" w:after="0"/>
        <w:ind w:left="667" w:right="238" w:hanging="227"/>
        <w:jc w:val="both"/>
        <w:rPr>
          <w:sz w:val="22"/>
        </w:rPr>
      </w:pPr>
      <w:r>
        <w:rPr>
          <w:sz w:val="22"/>
        </w:rPr>
        <w:t>usytuowanie miejsc postoju, mycia pojazdów powinno spełniać wymogi wynikające z przepisów sanitarnych i ochrony środowiska oraz nie stanowić uciążliwości dla osób</w:t>
      </w:r>
      <w:r>
        <w:rPr>
          <w:spacing w:val="-7"/>
          <w:sz w:val="22"/>
        </w:rPr>
        <w:t> </w:t>
      </w:r>
      <w:r>
        <w:rPr>
          <w:sz w:val="22"/>
        </w:rPr>
        <w:t>trzecich,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7" w:right="237" w:hanging="227"/>
        <w:jc w:val="both"/>
        <w:rPr>
          <w:sz w:val="22"/>
        </w:rPr>
      </w:pPr>
      <w:r>
        <w:rPr>
          <w:sz w:val="22"/>
        </w:rPr>
        <w:t>w przypadku, gdy przedsiębiorca nie posiada bazy transportowej lub baza nie spełnia wymagań określonych w lit. a)  do  d)  przedsiębiorca  zobowiązany  jest  udokumentować  prawo  do  korzystania z bazy transportowej należącej do innego podmiotu prowadzącego działalność w tym zakresie poprzez przedłożenie stosownych</w:t>
      </w:r>
      <w:r>
        <w:rPr>
          <w:spacing w:val="-2"/>
          <w:sz w:val="22"/>
        </w:rPr>
        <w:t> </w:t>
      </w:r>
      <w:r>
        <w:rPr>
          <w:sz w:val="22"/>
        </w:rPr>
        <w:t>umów;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20" w:after="0"/>
        <w:ind w:left="451" w:right="0" w:hanging="239"/>
        <w:jc w:val="both"/>
        <w:rPr>
          <w:sz w:val="22"/>
        </w:rPr>
      </w:pPr>
      <w:r>
        <w:rPr>
          <w:sz w:val="22"/>
        </w:rPr>
        <w:t>w zakresie zabiegów sanitarnych i porządkowych związanych ze świadczonymi</w:t>
      </w:r>
      <w:r>
        <w:rPr>
          <w:spacing w:val="-8"/>
          <w:sz w:val="22"/>
        </w:rPr>
        <w:t> </w:t>
      </w:r>
      <w:r>
        <w:rPr>
          <w:sz w:val="22"/>
        </w:rPr>
        <w:t>usługami: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7" w:right="236" w:hanging="227"/>
        <w:jc w:val="both"/>
        <w:rPr>
          <w:sz w:val="22"/>
        </w:rPr>
      </w:pPr>
      <w:r>
        <w:rPr>
          <w:sz w:val="22"/>
        </w:rPr>
        <w:t>mycie i dezynfekcja pojazdów asenizacyjnych powinny odbywać się zgodnie z wymogami §10 rozporządzenia Ministra Infrastruktury z dnia 12 listopada 2002 r. w sprawie wymagań dla pojazdów asenizacyjnych (Dz. U. Nr 193 poz.</w:t>
      </w:r>
      <w:r>
        <w:rPr>
          <w:spacing w:val="-3"/>
          <w:sz w:val="22"/>
        </w:rPr>
        <w:t> </w:t>
      </w:r>
      <w:r>
        <w:rPr>
          <w:sz w:val="22"/>
        </w:rPr>
        <w:t>1617),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0" w:after="0"/>
        <w:ind w:left="667" w:right="236" w:hanging="227"/>
        <w:jc w:val="both"/>
        <w:rPr>
          <w:sz w:val="22"/>
        </w:rPr>
      </w:pPr>
      <w:r>
        <w:rPr>
          <w:sz w:val="22"/>
        </w:rPr>
        <w:t>świadczenie usług w zakresie opróżniania zbiorników bezodpływowych lub osadników w instalacjach przydomowych oczyszczalni ścieków i transportu nieczystości ciekłych powinno odbywać się w sposób nie powodujący zagrożenia dla zdrowia i życia mieszkańców oraz w sposób nie powodujący zanieczyszczenia</w:t>
      </w:r>
      <w:r>
        <w:rPr>
          <w:spacing w:val="-1"/>
          <w:sz w:val="22"/>
        </w:rPr>
        <w:t> </w:t>
      </w:r>
      <w:r>
        <w:rPr>
          <w:sz w:val="22"/>
        </w:rPr>
        <w:t>środowiska;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20" w:after="0"/>
        <w:ind w:left="451" w:right="0" w:hanging="239"/>
        <w:jc w:val="both"/>
        <w:rPr>
          <w:sz w:val="22"/>
        </w:rPr>
      </w:pPr>
      <w:r>
        <w:rPr>
          <w:sz w:val="22"/>
        </w:rPr>
        <w:t>w zakresie miejsc przekazywania nieczystości</w:t>
      </w:r>
      <w:r>
        <w:rPr>
          <w:spacing w:val="-2"/>
          <w:sz w:val="22"/>
        </w:rPr>
        <w:t> </w:t>
      </w:r>
      <w:r>
        <w:rPr>
          <w:sz w:val="22"/>
        </w:rPr>
        <w:t>ciekłych: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7" w:right="237" w:hanging="227"/>
        <w:jc w:val="both"/>
        <w:rPr>
          <w:sz w:val="22"/>
        </w:rPr>
      </w:pPr>
      <w:r>
        <w:rPr>
          <w:sz w:val="22"/>
        </w:rPr>
        <w:t>nieczystości   ciekłe   pochodzące   z opróżniania    zbiorników    bezodpływowych    lub    osadników   w instalacjach przydomowych oczyszczalni ścieków znajdujących się na terenie gminy Skomlin  powinny być przekazane do stacji</w:t>
      </w:r>
      <w:r>
        <w:rPr>
          <w:spacing w:val="-1"/>
          <w:sz w:val="22"/>
        </w:rPr>
        <w:t> </w:t>
      </w:r>
      <w:r>
        <w:rPr>
          <w:sz w:val="22"/>
        </w:rPr>
        <w:t>zlewnych,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0" w:after="0"/>
        <w:ind w:left="678" w:right="0" w:hanging="239"/>
        <w:jc w:val="both"/>
        <w:rPr>
          <w:sz w:val="22"/>
        </w:rPr>
      </w:pPr>
      <w:r>
        <w:rPr>
          <w:sz w:val="22"/>
        </w:rPr>
        <w:t>przedsiębiorca winien udokumentować gotowość odbioru nieczystości ciekłych przez stację</w:t>
      </w:r>
      <w:r>
        <w:rPr>
          <w:spacing w:val="-7"/>
          <w:sz w:val="22"/>
        </w:rPr>
        <w:t> </w:t>
      </w:r>
      <w:r>
        <w:rPr>
          <w:sz w:val="22"/>
        </w:rPr>
        <w:t>zlewną,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120" w:after="0"/>
        <w:ind w:left="667" w:right="238" w:hanging="227"/>
        <w:jc w:val="both"/>
        <w:rPr>
          <w:sz w:val="22"/>
        </w:rPr>
      </w:pPr>
      <w:r>
        <w:rPr>
          <w:sz w:val="22"/>
        </w:rPr>
        <w:t>przedsiębiorca zobowiązany jest do dostarczania nieczystości ciekłych wyłącznie do stacji zlewnych spełniających wymagania określone w rozporządzeniu Ministra Infrastruktury z dnia 17 października 2002 r. w sprawie warunków wprowadzania nieczystości ciekłych do stacji zlewnych (Dz. U. z 2020 r. poz. 939).</w:t>
      </w:r>
    </w:p>
    <w:p>
      <w:pPr>
        <w:pStyle w:val="BodyText"/>
        <w:ind w:left="100" w:right="237" w:firstLine="340"/>
      </w:pPr>
      <w:r>
        <w:rPr>
          <w:b/>
        </w:rPr>
        <w:t>§ 3. </w:t>
      </w:r>
      <w:r>
        <w:rPr/>
        <w:t>Traci moc uchwała nr XXV/145/2013 Rady Gminy Skomlin z dnia 27 lutego 2013 r. w sprawie określenia wymagań, jakie powinien spełniać przedsiębiorca ubiegający się o uzyskanie zezwolenia na prowadzenie działalności w zakresie opróżniania zbiorników bezodpływowych i transportu nieczystości ciekłych na terenie Gminy Skomlin (Dz. Urz. Woj. Łódzk. z 2013 r. poz. 1782).</w:t>
      </w:r>
    </w:p>
    <w:p>
      <w:pPr>
        <w:pStyle w:val="BodyText"/>
        <w:ind w:left="440"/>
      </w:pPr>
      <w:r>
        <w:rPr>
          <w:b/>
        </w:rPr>
        <w:t>§ 4. </w:t>
      </w:r>
      <w:r>
        <w:rPr/>
        <w:t>Wykonanie uchwały powierza się Wójtowi Gminy Skomlin.</w:t>
      </w:r>
    </w:p>
    <w:p>
      <w:pPr>
        <w:pStyle w:val="BodyText"/>
        <w:ind w:left="440"/>
      </w:pPr>
      <w:r>
        <w:rPr>
          <w:b/>
        </w:rPr>
        <w:t>§ 5. </w:t>
      </w:r>
      <w:r>
        <w:rPr/>
        <w:t>Uchwała podlega ogłoszeniu w Dzienniku Urzędowym Województwa Łódzkiego i wchodzi w życie</w:t>
      </w:r>
    </w:p>
    <w:p>
      <w:pPr>
        <w:pStyle w:val="BodyText"/>
        <w:spacing w:before="0"/>
        <w:ind w:left="100"/>
      </w:pPr>
      <w:r>
        <w:rPr/>
        <w:t>po upływie 14 dni od dnia ogłoszenia.</w:t>
      </w: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1"/>
        <w:jc w:val="left"/>
        <w:rPr>
          <w:sz w:val="33"/>
        </w:rPr>
      </w:pPr>
    </w:p>
    <w:p>
      <w:pPr>
        <w:pStyle w:val="BodyText"/>
        <w:spacing w:before="1"/>
        <w:ind w:left="6293" w:right="1498"/>
        <w:jc w:val="center"/>
      </w:pPr>
      <w:r>
        <w:rPr/>
        <w:t>Wiceprzewodniczący Rady Gminy</w:t>
      </w:r>
    </w:p>
    <w:p>
      <w:pPr>
        <w:pStyle w:val="BodyText"/>
        <w:spacing w:before="0"/>
        <w:jc w:val="left"/>
        <w:rPr>
          <w:sz w:val="24"/>
        </w:rPr>
      </w:pPr>
    </w:p>
    <w:p>
      <w:pPr>
        <w:pStyle w:val="BodyText"/>
        <w:spacing w:before="11"/>
        <w:jc w:val="left"/>
        <w:rPr>
          <w:sz w:val="19"/>
        </w:rPr>
      </w:pPr>
    </w:p>
    <w:p>
      <w:pPr>
        <w:pStyle w:val="Heading2"/>
        <w:ind w:left="4793"/>
      </w:pPr>
      <w:r>
        <w:rPr/>
        <w:t>Teresa Kozica</w:t>
      </w:r>
    </w:p>
    <w:sectPr>
      <w:pgSz w:w="11910" w:h="16840"/>
      <w:pgMar w:top="720" w:bottom="280" w:left="9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51" w:hanging="2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67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0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8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2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0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24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4" w:hanging="22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jc w:val="both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3508"/>
      <w:outlineLvl w:val="1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256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942"/>
      <w:jc w:val="center"/>
    </w:pPr>
    <w:rPr>
      <w:rFonts w:ascii="Times New Roman" w:hAnsi="Times New Roman" w:eastAsia="Times New Roman" w:cs="Times New Roman"/>
      <w:sz w:val="75"/>
      <w:szCs w:val="7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667" w:hanging="227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Skomlin</dc:creator>
  <dc:subject>Uchwała Nr XLIX/297/2023 z dnia 30 maja 2023 r. Rady Gminy Skomlin w sprawie okreslenia wymagan, jakie powinien spelniac przedsiebiorca ubiegajacy sie o uzyskanie zezwolenia na oproznianie zbiornikow bezodplywowych lub osadnikow w instalacjach przydomowych oczyszczalni sciekow i transportu nieczystosci cieklych na terenie gminy Skomlin</dc:subject>
  <dc:title>Uchwala XLIX/297/2023</dc:title>
  <dcterms:created xsi:type="dcterms:W3CDTF">2023-08-11T12:08:47Z</dcterms:created>
  <dcterms:modified xsi:type="dcterms:W3CDTF">2023-08-11T12:08:47Z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Legislator v.2.3.1002.124</vt:lpwstr>
  </property>
  <property fmtid="{D5CDD505-2E9C-101B-9397-08002B2CF9AE}" pid="4" name="LastSaved">
    <vt:filetime>2023-08-11T00:00:00Z</vt:filetime>
  </property>
</Properties>
</file>